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2"/>
        <w:ind w:left="420" w:firstLine="0" w:firstLineChars="0"/>
        <w:jc w:val="center"/>
        <w:outlineLvl w:val="0"/>
        <w:rPr>
          <w:rFonts w:hint="eastAsia" w:ascii="宋体" w:hAnsi="宋体" w:eastAsia="宋体" w:cs="宋体"/>
          <w:b/>
          <w:bCs/>
          <w:sz w:val="36"/>
          <w:szCs w:val="36"/>
        </w:rPr>
      </w:pPr>
      <w:r>
        <w:rPr>
          <w:rFonts w:hint="eastAsia" w:ascii="宋体" w:hAnsi="宋体" w:eastAsia="宋体" w:cs="宋体"/>
          <w:b/>
          <w:bCs/>
          <w:sz w:val="36"/>
          <w:szCs w:val="36"/>
        </w:rPr>
        <w:t>增城院区安检系统建设项目</w:t>
      </w:r>
      <w:r>
        <w:rPr>
          <w:rFonts w:hint="eastAsia" w:ascii="宋体" w:hAnsi="宋体" w:eastAsia="宋体" w:cs="宋体"/>
          <w:b/>
          <w:bCs/>
          <w:sz w:val="36"/>
          <w:szCs w:val="36"/>
        </w:rPr>
        <w:t>采购需求</w:t>
      </w:r>
    </w:p>
    <w:p>
      <w:pPr>
        <w:autoSpaceDE w:val="0"/>
        <w:autoSpaceDN w:val="0"/>
        <w:rPr>
          <w:rFonts w:hint="eastAsia" w:ascii="宋体" w:hAnsi="宋体" w:eastAsia="宋体" w:cs="宋体"/>
          <w:szCs w:val="21"/>
          <w:lang w:val="zh-CN"/>
        </w:rPr>
      </w:pPr>
    </w:p>
    <w:p>
      <w:pPr>
        <w:pStyle w:val="3"/>
        <w:numPr>
          <w:numId w:val="0"/>
        </w:numPr>
        <w:tabs>
          <w:tab w:val="right" w:pos="8647"/>
        </w:tabs>
        <w:ind w:leftChars="0" w:firstLine="562" w:firstLineChars="200"/>
        <w:rPr>
          <w:rFonts w:hint="eastAsia" w:ascii="宋体" w:hAnsi="宋体" w:eastAsia="宋体" w:cs="宋体"/>
          <w:sz w:val="28"/>
          <w:szCs w:val="28"/>
        </w:rPr>
      </w:pPr>
      <w:r>
        <w:rPr>
          <w:rFonts w:hint="eastAsia" w:ascii="宋体" w:hAnsi="宋体" w:cs="宋体"/>
          <w:sz w:val="28"/>
          <w:szCs w:val="28"/>
          <w:lang w:eastAsia="zh-CN"/>
        </w:rPr>
        <w:t>一、</w:t>
      </w:r>
      <w:r>
        <w:rPr>
          <w:rFonts w:hint="eastAsia" w:ascii="宋体" w:hAnsi="宋体" w:eastAsia="宋体" w:cs="宋体"/>
          <w:sz w:val="28"/>
          <w:szCs w:val="28"/>
        </w:rPr>
        <w:t>项目</w:t>
      </w:r>
      <w:r>
        <w:rPr>
          <w:rFonts w:hint="eastAsia" w:ascii="宋体" w:hAnsi="宋体" w:cs="宋体"/>
          <w:sz w:val="28"/>
          <w:szCs w:val="28"/>
          <w:lang w:eastAsia="zh-CN"/>
        </w:rPr>
        <w:t>名称</w:t>
      </w:r>
      <w:r>
        <w:rPr>
          <w:rFonts w:hint="eastAsia" w:ascii="宋体" w:hAnsi="宋体" w:eastAsia="宋体" w:cs="宋体"/>
          <w:sz w:val="28"/>
          <w:szCs w:val="28"/>
          <w:lang w:eastAsia="zh-CN"/>
        </w:rPr>
        <w:tab/>
      </w:r>
    </w:p>
    <w:tbl>
      <w:tblPr>
        <w:tblStyle w:val="2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7"/>
        <w:gridCol w:w="4765"/>
        <w:gridCol w:w="871"/>
        <w:gridCol w:w="27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483" w:type="pct"/>
            <w:vAlign w:val="center"/>
          </w:tcPr>
          <w:p>
            <w:pPr>
              <w:jc w:val="center"/>
              <w:rPr>
                <w:rFonts w:hint="eastAsia" w:ascii="宋体" w:hAnsi="宋体" w:eastAsia="宋体" w:cs="宋体"/>
                <w:b/>
                <w:sz w:val="24"/>
                <w:szCs w:val="24"/>
              </w:rPr>
            </w:pPr>
            <w:r>
              <w:rPr>
                <w:rFonts w:hint="eastAsia" w:ascii="宋体" w:hAnsi="宋体" w:eastAsia="宋体" w:cs="宋体"/>
                <w:b/>
                <w:sz w:val="24"/>
                <w:szCs w:val="24"/>
              </w:rPr>
              <w:t>序号</w:t>
            </w:r>
          </w:p>
        </w:tc>
        <w:tc>
          <w:tcPr>
            <w:tcW w:w="2565" w:type="pct"/>
            <w:vAlign w:val="center"/>
          </w:tcPr>
          <w:p>
            <w:pPr>
              <w:jc w:val="center"/>
              <w:rPr>
                <w:rFonts w:hint="eastAsia" w:ascii="宋体" w:hAnsi="宋体" w:eastAsia="宋体" w:cs="宋体"/>
                <w:b/>
                <w:sz w:val="24"/>
                <w:szCs w:val="24"/>
              </w:rPr>
            </w:pPr>
            <w:r>
              <w:rPr>
                <w:rFonts w:hint="eastAsia" w:ascii="宋体" w:hAnsi="宋体" w:eastAsia="宋体" w:cs="宋体"/>
                <w:b/>
                <w:sz w:val="24"/>
                <w:szCs w:val="24"/>
              </w:rPr>
              <w:t>标的名称</w:t>
            </w:r>
          </w:p>
        </w:tc>
        <w:tc>
          <w:tcPr>
            <w:tcW w:w="469" w:type="pct"/>
            <w:vAlign w:val="center"/>
          </w:tcPr>
          <w:p>
            <w:pPr>
              <w:jc w:val="center"/>
              <w:rPr>
                <w:rFonts w:hint="eastAsia" w:ascii="宋体" w:hAnsi="宋体" w:eastAsia="宋体" w:cs="宋体"/>
                <w:b/>
                <w:sz w:val="24"/>
                <w:szCs w:val="24"/>
              </w:rPr>
            </w:pPr>
            <w:r>
              <w:rPr>
                <w:rFonts w:hint="eastAsia" w:ascii="宋体" w:hAnsi="宋体" w:eastAsia="宋体" w:cs="宋体"/>
                <w:b/>
                <w:sz w:val="24"/>
                <w:szCs w:val="24"/>
              </w:rPr>
              <w:t>数量</w:t>
            </w:r>
          </w:p>
        </w:tc>
        <w:tc>
          <w:tcPr>
            <w:tcW w:w="1483" w:type="pct"/>
            <w:vAlign w:val="center"/>
          </w:tcPr>
          <w:p>
            <w:pPr>
              <w:jc w:val="center"/>
              <w:rPr>
                <w:rFonts w:hint="eastAsia" w:ascii="宋体" w:hAnsi="宋体" w:eastAsia="宋体" w:cs="宋体"/>
                <w:b/>
                <w:sz w:val="24"/>
                <w:szCs w:val="24"/>
              </w:rPr>
            </w:pPr>
            <w:r>
              <w:rPr>
                <w:rFonts w:hint="eastAsia" w:ascii="宋体" w:hAnsi="宋体" w:eastAsia="宋体" w:cs="宋体"/>
                <w:b/>
                <w:sz w:val="24"/>
                <w:szCs w:val="24"/>
              </w:rPr>
              <w:t>预算价格(人民币)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jc w:val="center"/>
        </w:trPr>
        <w:tc>
          <w:tcPr>
            <w:tcW w:w="483" w:type="pct"/>
            <w:vAlign w:val="center"/>
          </w:tcPr>
          <w:p>
            <w:pPr>
              <w:jc w:val="center"/>
              <w:rPr>
                <w:rFonts w:hint="eastAsia" w:ascii="宋体" w:hAnsi="宋体" w:eastAsia="宋体" w:cs="宋体"/>
                <w:sz w:val="24"/>
                <w:szCs w:val="24"/>
              </w:rPr>
            </w:pPr>
            <w:r>
              <w:rPr>
                <w:rFonts w:hint="eastAsia" w:ascii="宋体" w:hAnsi="宋体" w:eastAsia="宋体" w:cs="宋体"/>
                <w:sz w:val="24"/>
                <w:szCs w:val="24"/>
              </w:rPr>
              <w:t>1</w:t>
            </w:r>
          </w:p>
        </w:tc>
        <w:tc>
          <w:tcPr>
            <w:tcW w:w="2565" w:type="pct"/>
            <w:vAlign w:val="center"/>
          </w:tcPr>
          <w:p>
            <w:pPr>
              <w:jc w:val="center"/>
              <w:rPr>
                <w:rFonts w:hint="eastAsia" w:ascii="宋体" w:hAnsi="宋体" w:eastAsia="宋体" w:cs="宋体"/>
                <w:sz w:val="24"/>
                <w:szCs w:val="24"/>
              </w:rPr>
            </w:pPr>
            <w:r>
              <w:rPr>
                <w:rFonts w:hint="eastAsia" w:ascii="宋体" w:hAnsi="宋体" w:eastAsia="宋体" w:cs="宋体"/>
                <w:sz w:val="24"/>
                <w:szCs w:val="24"/>
              </w:rPr>
              <w:t>广州市妇女儿童医疗中心增城院区安检系统建设项目</w:t>
            </w:r>
          </w:p>
        </w:tc>
        <w:tc>
          <w:tcPr>
            <w:tcW w:w="469" w:type="pct"/>
            <w:vAlign w:val="center"/>
          </w:tcPr>
          <w:p>
            <w:pPr>
              <w:pStyle w:val="60"/>
              <w:snapToGrid w:val="0"/>
              <w:jc w:val="center"/>
              <w:rPr>
                <w:rFonts w:hint="eastAsia" w:ascii="宋体" w:hAnsi="宋体" w:eastAsia="宋体" w:cs="宋体"/>
                <w:sz w:val="24"/>
              </w:rPr>
            </w:pPr>
            <w:r>
              <w:rPr>
                <w:rFonts w:hint="eastAsia" w:ascii="宋体" w:hAnsi="宋体" w:eastAsia="宋体" w:cs="宋体"/>
                <w:sz w:val="24"/>
              </w:rPr>
              <w:t>1套</w:t>
            </w:r>
          </w:p>
        </w:tc>
        <w:tc>
          <w:tcPr>
            <w:tcW w:w="1483" w:type="pct"/>
            <w:vAlign w:val="center"/>
          </w:tcPr>
          <w:p>
            <w:pPr>
              <w:jc w:val="both"/>
              <w:rPr>
                <w:rFonts w:hint="eastAsia" w:ascii="宋体" w:hAnsi="宋体" w:eastAsia="宋体" w:cs="宋体"/>
                <w:sz w:val="24"/>
                <w:szCs w:val="24"/>
              </w:rPr>
            </w:pPr>
          </w:p>
        </w:tc>
      </w:tr>
    </w:tbl>
    <w:p>
      <w:pPr>
        <w:pStyle w:val="3"/>
        <w:numPr>
          <w:ilvl w:val="0"/>
          <w:numId w:val="2"/>
        </w:numPr>
        <w:ind w:leftChars="0" w:firstLine="281" w:firstLineChars="100"/>
        <w:rPr>
          <w:rFonts w:hint="eastAsia" w:ascii="宋体" w:hAnsi="宋体" w:eastAsia="宋体" w:cs="宋体"/>
          <w:sz w:val="24"/>
          <w:szCs w:val="20"/>
        </w:rPr>
      </w:pPr>
      <w:bookmarkStart w:id="0" w:name="_Toc65847375"/>
      <w:r>
        <w:rPr>
          <w:rFonts w:hint="eastAsia" w:ascii="宋体" w:hAnsi="宋体" w:eastAsia="宋体" w:cs="宋体"/>
          <w:sz w:val="28"/>
          <w:szCs w:val="28"/>
        </w:rPr>
        <w:t>项目背景</w:t>
      </w:r>
      <w:bookmarkEnd w:id="0"/>
      <w:bookmarkStart w:id="1" w:name="_Toc38314076"/>
    </w:p>
    <w:p>
      <w:pPr>
        <w:pStyle w:val="3"/>
        <w:numPr>
          <w:numId w:val="0"/>
        </w:numPr>
        <w:ind w:firstLine="480" w:firstLineChars="200"/>
        <w:rPr>
          <w:rFonts w:hint="eastAsia" w:ascii="宋体" w:hAnsi="宋体" w:eastAsia="宋体" w:cs="宋体"/>
          <w:b w:val="0"/>
          <w:bCs w:val="0"/>
          <w:sz w:val="24"/>
          <w:szCs w:val="20"/>
        </w:rPr>
      </w:pPr>
      <w:r>
        <w:rPr>
          <w:rFonts w:hint="eastAsia" w:ascii="宋体" w:hAnsi="宋体" w:eastAsia="宋体" w:cs="宋体"/>
          <w:b w:val="0"/>
          <w:bCs w:val="0"/>
          <w:sz w:val="24"/>
          <w:szCs w:val="20"/>
        </w:rPr>
        <w:t>广州市妇女儿童医疗中心增城院区，总建筑面积</w:t>
      </w:r>
      <w:r>
        <w:rPr>
          <w:rFonts w:hint="eastAsia" w:ascii="宋体" w:hAnsi="宋体" w:cs="宋体"/>
          <w:b w:val="0"/>
          <w:bCs w:val="0"/>
          <w:sz w:val="24"/>
          <w:szCs w:val="20"/>
          <w:lang w:eastAsia="zh-CN"/>
        </w:rPr>
        <w:t>约</w:t>
      </w:r>
      <w:r>
        <w:rPr>
          <w:rFonts w:hint="eastAsia" w:ascii="宋体" w:hAnsi="宋体" w:eastAsia="宋体" w:cs="宋体"/>
          <w:b w:val="0"/>
          <w:bCs w:val="0"/>
          <w:sz w:val="24"/>
          <w:szCs w:val="20"/>
        </w:rPr>
        <w:t>2</w:t>
      </w:r>
      <w:r>
        <w:rPr>
          <w:rFonts w:hint="eastAsia" w:ascii="宋体" w:hAnsi="宋体" w:cs="宋体"/>
          <w:b w:val="0"/>
          <w:bCs w:val="0"/>
          <w:sz w:val="24"/>
          <w:szCs w:val="20"/>
          <w:lang w:val="en-US" w:eastAsia="zh-CN"/>
        </w:rPr>
        <w:t>2万</w:t>
      </w:r>
      <w:r>
        <w:rPr>
          <w:rFonts w:hint="eastAsia" w:ascii="宋体" w:hAnsi="宋体" w:eastAsia="宋体" w:cs="宋体"/>
          <w:b w:val="0"/>
          <w:bCs w:val="0"/>
          <w:sz w:val="24"/>
          <w:szCs w:val="20"/>
        </w:rPr>
        <w:t>平方米，门诊</w:t>
      </w:r>
      <w:r>
        <w:rPr>
          <w:rFonts w:hint="eastAsia" w:ascii="宋体" w:hAnsi="宋体" w:cs="宋体"/>
          <w:b w:val="0"/>
          <w:bCs w:val="0"/>
          <w:sz w:val="24"/>
          <w:szCs w:val="20"/>
          <w:lang w:eastAsia="zh-CN"/>
        </w:rPr>
        <w:t>接诊</w:t>
      </w:r>
      <w:r>
        <w:rPr>
          <w:rFonts w:hint="eastAsia" w:ascii="宋体" w:hAnsi="宋体" w:eastAsia="宋体" w:cs="宋体"/>
          <w:b w:val="0"/>
          <w:bCs w:val="0"/>
          <w:sz w:val="24"/>
          <w:szCs w:val="20"/>
        </w:rPr>
        <w:t>能力5000-7000人/日、</w:t>
      </w:r>
      <w:r>
        <w:rPr>
          <w:rFonts w:hint="eastAsia" w:ascii="宋体" w:hAnsi="宋体" w:cs="宋体"/>
          <w:b w:val="0"/>
          <w:bCs w:val="0"/>
          <w:sz w:val="24"/>
          <w:szCs w:val="20"/>
          <w:lang w:eastAsia="zh-CN"/>
        </w:rPr>
        <w:t>住院</w:t>
      </w:r>
      <w:r>
        <w:rPr>
          <w:rFonts w:hint="eastAsia" w:ascii="宋体" w:hAnsi="宋体" w:eastAsia="宋体" w:cs="宋体"/>
          <w:b w:val="0"/>
          <w:bCs w:val="0"/>
          <w:sz w:val="24"/>
          <w:szCs w:val="20"/>
        </w:rPr>
        <w:t>床位</w:t>
      </w:r>
      <w:r>
        <w:rPr>
          <w:rFonts w:hint="eastAsia" w:ascii="宋体" w:hAnsi="宋体" w:eastAsia="宋体" w:cs="宋体"/>
          <w:b w:val="0"/>
          <w:bCs w:val="0"/>
          <w:sz w:val="24"/>
          <w:szCs w:val="20"/>
          <w:lang w:eastAsia="zh-CN"/>
        </w:rPr>
        <w:t>规划</w:t>
      </w:r>
      <w:r>
        <w:rPr>
          <w:rFonts w:hint="eastAsia" w:ascii="宋体" w:hAnsi="宋体" w:eastAsia="宋体" w:cs="宋体"/>
          <w:b w:val="0"/>
          <w:bCs w:val="0"/>
          <w:sz w:val="24"/>
          <w:szCs w:val="20"/>
        </w:rPr>
        <w:t>1000</w:t>
      </w:r>
      <w:r>
        <w:rPr>
          <w:rFonts w:hint="eastAsia" w:ascii="宋体" w:hAnsi="宋体" w:eastAsia="宋体" w:cs="宋体"/>
          <w:b w:val="0"/>
          <w:bCs w:val="0"/>
          <w:sz w:val="24"/>
          <w:szCs w:val="20"/>
          <w:lang w:eastAsia="zh-CN"/>
        </w:rPr>
        <w:t>多</w:t>
      </w:r>
      <w:r>
        <w:rPr>
          <w:rFonts w:hint="eastAsia" w:ascii="宋体" w:hAnsi="宋体" w:eastAsia="宋体" w:cs="宋体"/>
          <w:b w:val="0"/>
          <w:bCs w:val="0"/>
          <w:sz w:val="24"/>
          <w:szCs w:val="20"/>
        </w:rPr>
        <w:t>张，是广州市妇女儿童医疗中心主要分院区之一。</w:t>
      </w:r>
      <w:r>
        <w:rPr>
          <w:rFonts w:hint="eastAsia" w:ascii="宋体" w:hAnsi="宋体" w:eastAsia="宋体" w:cs="宋体"/>
          <w:b w:val="0"/>
          <w:bCs w:val="0"/>
          <w:sz w:val="24"/>
          <w:szCs w:val="20"/>
          <w:lang w:eastAsia="zh-CN"/>
        </w:rPr>
        <w:t>目前</w:t>
      </w:r>
      <w:r>
        <w:rPr>
          <w:rFonts w:hint="eastAsia" w:ascii="宋体" w:hAnsi="宋体" w:cs="宋体"/>
          <w:b w:val="0"/>
          <w:bCs w:val="0"/>
          <w:sz w:val="24"/>
          <w:szCs w:val="20"/>
          <w:lang w:eastAsia="zh-CN"/>
        </w:rPr>
        <w:t>主要</w:t>
      </w:r>
      <w:r>
        <w:rPr>
          <w:rFonts w:hint="eastAsia" w:ascii="宋体" w:hAnsi="宋体" w:eastAsia="宋体" w:cs="宋体"/>
          <w:b w:val="0"/>
          <w:bCs w:val="0"/>
          <w:sz w:val="24"/>
          <w:szCs w:val="20"/>
          <w:lang w:eastAsia="zh-CN"/>
        </w:rPr>
        <w:t>承担增城区及周边地区妇女儿童诊治工作</w:t>
      </w:r>
      <w:r>
        <w:rPr>
          <w:rFonts w:hint="eastAsia" w:ascii="宋体" w:hAnsi="宋体" w:eastAsia="宋体" w:cs="宋体"/>
          <w:b w:val="0"/>
          <w:bCs w:val="0"/>
          <w:sz w:val="24"/>
          <w:szCs w:val="20"/>
        </w:rPr>
        <w:t>，每天都会有大量的人员进出</w:t>
      </w:r>
      <w:r>
        <w:rPr>
          <w:rFonts w:hint="eastAsia" w:ascii="宋体" w:hAnsi="宋体" w:eastAsia="宋体" w:cs="宋体"/>
          <w:b w:val="0"/>
          <w:bCs w:val="0"/>
          <w:sz w:val="24"/>
          <w:szCs w:val="20"/>
          <w:lang w:eastAsia="zh-CN"/>
        </w:rPr>
        <w:t>院区</w:t>
      </w:r>
      <w:r>
        <w:rPr>
          <w:rFonts w:hint="eastAsia" w:ascii="宋体" w:hAnsi="宋体" w:cs="宋体"/>
          <w:b w:val="0"/>
          <w:bCs w:val="0"/>
          <w:sz w:val="24"/>
          <w:szCs w:val="20"/>
          <w:lang w:eastAsia="zh-CN"/>
        </w:rPr>
        <w:t>，</w:t>
      </w:r>
      <w:r>
        <w:rPr>
          <w:rFonts w:hint="eastAsia" w:ascii="宋体" w:hAnsi="宋体" w:eastAsia="宋体" w:cs="宋体"/>
          <w:b w:val="0"/>
          <w:bCs w:val="0"/>
          <w:sz w:val="24"/>
          <w:szCs w:val="20"/>
          <w:lang w:eastAsia="zh-CN"/>
        </w:rPr>
        <w:t>为了加强对进入医院人员管控，</w:t>
      </w:r>
      <w:r>
        <w:rPr>
          <w:rFonts w:hint="eastAsia" w:ascii="宋体" w:hAnsi="宋体" w:eastAsia="宋体" w:cs="宋体"/>
          <w:b w:val="0"/>
          <w:bCs w:val="0"/>
          <w:sz w:val="24"/>
          <w:szCs w:val="20"/>
        </w:rPr>
        <w:t>严防禁限物品进入医院</w:t>
      </w:r>
      <w:r>
        <w:rPr>
          <w:rFonts w:hint="eastAsia" w:ascii="宋体" w:hAnsi="宋体" w:eastAsia="宋体" w:cs="宋体"/>
          <w:b w:val="0"/>
          <w:bCs w:val="0"/>
          <w:sz w:val="24"/>
          <w:szCs w:val="20"/>
          <w:lang w:eastAsia="zh-CN"/>
        </w:rPr>
        <w:t>，</w:t>
      </w:r>
      <w:r>
        <w:rPr>
          <w:rFonts w:hint="eastAsia" w:ascii="宋体" w:hAnsi="宋体" w:cs="宋体"/>
          <w:b w:val="0"/>
          <w:bCs w:val="0"/>
          <w:sz w:val="24"/>
          <w:szCs w:val="20"/>
          <w:lang w:eastAsia="zh-CN"/>
        </w:rPr>
        <w:t>在主要进人口</w:t>
      </w:r>
      <w:r>
        <w:rPr>
          <w:rFonts w:hint="eastAsia" w:ascii="宋体" w:hAnsi="宋体" w:eastAsia="宋体" w:cs="宋体"/>
          <w:b w:val="0"/>
          <w:bCs w:val="0"/>
          <w:sz w:val="24"/>
          <w:szCs w:val="20"/>
          <w:lang w:eastAsia="zh-CN"/>
        </w:rPr>
        <w:t>配置一台安检系统</w:t>
      </w:r>
      <w:r>
        <w:rPr>
          <w:rFonts w:hint="eastAsia" w:ascii="宋体" w:hAnsi="宋体" w:cs="宋体"/>
          <w:b w:val="0"/>
          <w:bCs w:val="0"/>
          <w:sz w:val="24"/>
          <w:szCs w:val="20"/>
          <w:lang w:eastAsia="zh-CN"/>
        </w:rPr>
        <w:t>设备</w:t>
      </w:r>
      <w:r>
        <w:rPr>
          <w:rFonts w:hint="eastAsia" w:ascii="宋体" w:hAnsi="宋体" w:eastAsia="宋体" w:cs="宋体"/>
          <w:b w:val="0"/>
          <w:bCs w:val="0"/>
          <w:sz w:val="24"/>
          <w:szCs w:val="20"/>
          <w:lang w:eastAsia="zh-CN"/>
        </w:rPr>
        <w:t>。</w:t>
      </w:r>
    </w:p>
    <w:bookmarkEnd w:id="1"/>
    <w:p>
      <w:pPr>
        <w:pStyle w:val="4"/>
        <w:numPr>
          <w:ilvl w:val="0"/>
          <w:numId w:val="0"/>
        </w:numPr>
        <w:spacing w:line="240" w:lineRule="auto"/>
        <w:ind w:firstLine="562" w:firstLineChars="200"/>
        <w:rPr>
          <w:rFonts w:hint="eastAsia" w:ascii="宋体" w:hAnsi="宋体" w:eastAsia="宋体" w:cs="宋体"/>
          <w:sz w:val="28"/>
          <w:szCs w:val="28"/>
          <w:lang w:eastAsia="zh-CN"/>
        </w:rPr>
      </w:pPr>
      <w:bookmarkStart w:id="2" w:name="_Toc38314077"/>
      <w:bookmarkStart w:id="3" w:name="_Toc65847380"/>
      <w:r>
        <w:rPr>
          <w:rFonts w:hint="eastAsia" w:ascii="宋体" w:hAnsi="宋体" w:cs="宋体"/>
          <w:sz w:val="28"/>
          <w:szCs w:val="28"/>
          <w:lang w:eastAsia="zh-CN"/>
        </w:rPr>
        <w:t>三、</w:t>
      </w:r>
      <w:r>
        <w:rPr>
          <w:rFonts w:hint="eastAsia" w:ascii="宋体" w:hAnsi="宋体" w:eastAsia="宋体" w:cs="宋体"/>
          <w:sz w:val="28"/>
          <w:szCs w:val="28"/>
        </w:rPr>
        <w:t>总体目标</w:t>
      </w:r>
      <w:bookmarkEnd w:id="2"/>
      <w:bookmarkEnd w:id="3"/>
    </w:p>
    <w:p>
      <w:pPr>
        <w:pStyle w:val="52"/>
        <w:ind w:firstLine="480"/>
        <w:rPr>
          <w:rFonts w:hint="eastAsia" w:ascii="宋体" w:hAnsi="宋体" w:eastAsia="宋体" w:cs="宋体"/>
          <w:szCs w:val="22"/>
        </w:rPr>
      </w:pPr>
      <w:r>
        <w:rPr>
          <w:rFonts w:hint="eastAsia" w:ascii="宋体" w:hAnsi="宋体" w:eastAsia="宋体" w:cs="宋体"/>
          <w:szCs w:val="22"/>
          <w:lang w:eastAsia="zh-CN"/>
        </w:rPr>
        <w:t>设备系统</w:t>
      </w:r>
      <w:r>
        <w:rPr>
          <w:rFonts w:hint="eastAsia" w:ascii="宋体" w:hAnsi="宋体" w:eastAsia="宋体" w:cs="宋体"/>
          <w:szCs w:val="22"/>
        </w:rPr>
        <w:t>可识别的类型</w:t>
      </w:r>
      <w:r>
        <w:rPr>
          <w:rFonts w:hint="eastAsia" w:ascii="宋体" w:hAnsi="宋体" w:eastAsia="宋体" w:cs="宋体"/>
          <w:szCs w:val="22"/>
          <w:lang w:eastAsia="zh-CN"/>
        </w:rPr>
        <w:t>至少</w:t>
      </w:r>
      <w:r>
        <w:rPr>
          <w:rFonts w:hint="eastAsia" w:ascii="宋体" w:hAnsi="宋体" w:eastAsia="宋体" w:cs="宋体"/>
          <w:szCs w:val="22"/>
        </w:rPr>
        <w:t>包括以下几大类：刀具、枪支（包括整枪、套筒、枪管、弹匣、握把、子弹）、瓶装液体、电池、雨伞、笔记本电脑、手机、喷灌、剪刀、打火机等</w:t>
      </w:r>
      <w:r>
        <w:rPr>
          <w:rFonts w:hint="eastAsia" w:ascii="宋体" w:hAnsi="宋体" w:eastAsia="宋体" w:cs="宋体"/>
          <w:szCs w:val="22"/>
        </w:rPr>
        <w:t>10大类违禁品。</w:t>
      </w:r>
    </w:p>
    <w:p>
      <w:pPr>
        <w:pStyle w:val="52"/>
        <w:ind w:firstLine="480"/>
        <w:rPr>
          <w:rFonts w:hint="eastAsia" w:ascii="宋体" w:hAnsi="宋体" w:eastAsia="宋体" w:cs="宋体"/>
          <w:szCs w:val="22"/>
        </w:rPr>
      </w:pPr>
      <w:r>
        <w:rPr>
          <w:rFonts w:hint="eastAsia" w:ascii="宋体" w:hAnsi="宋体" w:eastAsia="宋体" w:cs="宋体"/>
          <w:szCs w:val="22"/>
        </w:rPr>
        <w:t>当系统识别到有危险品通过时，会对危险品进行框选、标注，电子放大、细节展示，并通过声光报警进行报警提示，提醒安检员注意</w:t>
      </w:r>
      <w:r>
        <w:rPr>
          <w:rFonts w:hint="eastAsia" w:ascii="宋体" w:hAnsi="宋体" w:eastAsia="宋体" w:cs="宋体"/>
          <w:szCs w:val="22"/>
        </w:rPr>
        <w:t>，提升安检能力。</w:t>
      </w:r>
    </w:p>
    <w:p>
      <w:pPr>
        <w:pStyle w:val="4"/>
        <w:numPr>
          <w:ilvl w:val="0"/>
          <w:numId w:val="0"/>
        </w:numPr>
        <w:spacing w:line="240" w:lineRule="auto"/>
        <w:ind w:firstLine="562" w:firstLineChars="200"/>
        <w:rPr>
          <w:rFonts w:hint="eastAsia" w:ascii="宋体" w:hAnsi="宋体" w:eastAsia="宋体" w:cs="宋体"/>
          <w:szCs w:val="22"/>
        </w:rPr>
      </w:pPr>
      <w:r>
        <w:rPr>
          <w:rFonts w:hint="eastAsia" w:ascii="宋体" w:hAnsi="宋体" w:cs="宋体"/>
          <w:sz w:val="28"/>
          <w:szCs w:val="28"/>
          <w:lang w:val="en-US" w:eastAsia="zh-CN"/>
        </w:rPr>
        <w:t>四、</w:t>
      </w:r>
      <w:r>
        <w:rPr>
          <w:rFonts w:hint="eastAsia" w:ascii="宋体" w:hAnsi="宋体" w:eastAsia="宋体" w:cs="宋体"/>
          <w:sz w:val="28"/>
          <w:szCs w:val="28"/>
          <w:lang w:val="en-US" w:eastAsia="zh-CN"/>
        </w:rPr>
        <w:t>系统</w:t>
      </w:r>
      <w:r>
        <w:rPr>
          <w:rFonts w:hint="eastAsia" w:ascii="宋体" w:hAnsi="宋体" w:eastAsia="宋体" w:cs="宋体"/>
          <w:sz w:val="28"/>
          <w:szCs w:val="28"/>
          <w:lang w:eastAsia="zh-CN"/>
        </w:rPr>
        <w:t>功能</w:t>
      </w:r>
    </w:p>
    <w:p>
      <w:pPr>
        <w:pStyle w:val="52"/>
        <w:ind w:firstLine="480"/>
        <w:rPr>
          <w:rFonts w:hint="eastAsia" w:ascii="宋体" w:hAnsi="宋体" w:eastAsia="宋体" w:cs="宋体"/>
          <w:szCs w:val="22"/>
        </w:rPr>
      </w:pPr>
      <w:r>
        <w:rPr>
          <w:rFonts w:hint="eastAsia" w:ascii="宋体" w:hAnsi="宋体" w:eastAsia="宋体" w:cs="宋体"/>
          <w:szCs w:val="22"/>
        </w:rPr>
        <w:t>1、智能研判，通过AI技术及时发现包裹里面的违禁品；</w:t>
      </w:r>
    </w:p>
    <w:p>
      <w:pPr>
        <w:pStyle w:val="52"/>
        <w:ind w:firstLine="480"/>
        <w:rPr>
          <w:rFonts w:hint="eastAsia" w:ascii="宋体" w:hAnsi="宋体" w:eastAsia="宋体" w:cs="宋体"/>
          <w:szCs w:val="22"/>
        </w:rPr>
      </w:pPr>
      <w:r>
        <w:rPr>
          <w:rFonts w:hint="eastAsia" w:ascii="宋体" w:hAnsi="宋体" w:eastAsia="宋体" w:cs="宋体"/>
          <w:szCs w:val="22"/>
        </w:rPr>
        <w:t>2、危险品呈现，对违禁品进行框选及提示，辅助安检人员进行判断；</w:t>
      </w:r>
    </w:p>
    <w:p>
      <w:pPr>
        <w:pStyle w:val="52"/>
        <w:ind w:firstLine="480"/>
        <w:rPr>
          <w:rFonts w:hint="eastAsia" w:ascii="宋体" w:hAnsi="宋体" w:eastAsia="宋体" w:cs="宋体"/>
          <w:szCs w:val="22"/>
        </w:rPr>
      </w:pPr>
      <w:r>
        <w:rPr>
          <w:rFonts w:hint="eastAsia" w:ascii="宋体" w:hAnsi="宋体" w:eastAsia="宋体" w:cs="宋体"/>
          <w:szCs w:val="22"/>
        </w:rPr>
        <w:t>3、危险品展示，可通过电子放大，对图片细节进行展示；</w:t>
      </w:r>
    </w:p>
    <w:p>
      <w:pPr>
        <w:pStyle w:val="52"/>
        <w:ind w:firstLine="480"/>
        <w:rPr>
          <w:rFonts w:hint="eastAsia" w:ascii="宋体" w:hAnsi="宋体" w:eastAsia="宋体" w:cs="宋体"/>
          <w:szCs w:val="22"/>
        </w:rPr>
      </w:pPr>
      <w:r>
        <w:rPr>
          <w:rFonts w:hint="eastAsia" w:ascii="宋体" w:hAnsi="宋体" w:eastAsia="宋体" w:cs="宋体"/>
          <w:szCs w:val="22"/>
        </w:rPr>
        <w:t>4、历史回溯，通过查询，对历史过包数据进行回看操作；</w:t>
      </w:r>
    </w:p>
    <w:p>
      <w:pPr>
        <w:pStyle w:val="52"/>
        <w:ind w:firstLine="480"/>
        <w:rPr>
          <w:rFonts w:hint="eastAsia" w:ascii="宋体" w:hAnsi="宋体" w:eastAsia="宋体" w:cs="宋体"/>
          <w:szCs w:val="22"/>
        </w:rPr>
      </w:pPr>
      <w:r>
        <w:rPr>
          <w:rFonts w:hint="eastAsia" w:ascii="宋体" w:hAnsi="宋体" w:eastAsia="宋体" w:cs="宋体"/>
          <w:szCs w:val="22"/>
        </w:rPr>
        <w:t>5、运行状态展示，显示当前过包量及危险品数量信息；</w:t>
      </w:r>
    </w:p>
    <w:p>
      <w:pPr>
        <w:pStyle w:val="52"/>
        <w:ind w:firstLine="480"/>
        <w:rPr>
          <w:rFonts w:hint="eastAsia" w:ascii="宋体" w:hAnsi="宋体" w:eastAsia="宋体" w:cs="宋体"/>
          <w:szCs w:val="22"/>
        </w:rPr>
      </w:pPr>
      <w:r>
        <w:rPr>
          <w:rFonts w:hint="eastAsia" w:ascii="宋体" w:hAnsi="宋体" w:eastAsia="宋体" w:cs="宋体"/>
          <w:szCs w:val="22"/>
        </w:rPr>
        <w:t>6、报警联动，若智能识别到违禁品，系统会进行告警，现场人员可立刻调动力量处置包裹。</w:t>
      </w:r>
    </w:p>
    <w:p>
      <w:pPr>
        <w:pStyle w:val="52"/>
        <w:ind w:firstLine="480"/>
        <w:rPr>
          <w:rFonts w:hint="eastAsia" w:ascii="宋体" w:hAnsi="宋体" w:eastAsia="宋体" w:cs="宋体"/>
          <w:szCs w:val="22"/>
        </w:rPr>
      </w:pPr>
      <w:r>
        <w:rPr>
          <w:rFonts w:hint="eastAsia" w:ascii="宋体" w:hAnsi="宋体" w:eastAsia="宋体" w:cs="宋体"/>
          <w:szCs w:val="22"/>
          <w:lang w:val="en-US" w:eastAsia="zh-CN"/>
        </w:rPr>
        <w:t>7、</w:t>
      </w:r>
      <w:r>
        <w:rPr>
          <w:rFonts w:hint="eastAsia" w:ascii="宋体" w:hAnsi="宋体" w:eastAsia="宋体" w:cs="宋体"/>
          <w:szCs w:val="22"/>
        </w:rPr>
        <w:t>通过传输网络，可将安检机的智能安检系统、前端视频监控系统、人脸感知系统、行为分析系统、报警检测等系统统一接入后台进行综合管理</w:t>
      </w:r>
      <w:r>
        <w:rPr>
          <w:rFonts w:hint="eastAsia" w:ascii="宋体" w:hAnsi="宋体" w:eastAsia="宋体" w:cs="宋体"/>
          <w:szCs w:val="22"/>
          <w:lang w:eastAsia="zh-CN"/>
        </w:rPr>
        <w:t>。</w:t>
      </w:r>
      <w:r>
        <w:rPr>
          <w:rFonts w:hint="eastAsia" w:ascii="宋体" w:hAnsi="宋体" w:eastAsia="宋体" w:cs="宋体"/>
          <w:szCs w:val="22"/>
        </w:rPr>
        <w:t>检联网</w:t>
      </w:r>
      <w:r>
        <w:rPr>
          <w:rFonts w:hint="eastAsia" w:ascii="宋体" w:hAnsi="宋体" w:eastAsia="宋体" w:cs="宋体"/>
          <w:szCs w:val="22"/>
        </w:rPr>
        <w:t>平台</w:t>
      </w:r>
      <w:r>
        <w:rPr>
          <w:rFonts w:hint="eastAsia" w:ascii="宋体" w:hAnsi="宋体" w:eastAsia="宋体" w:cs="宋体"/>
          <w:szCs w:val="22"/>
        </w:rPr>
        <w:t>可以通过接入安检、视频监控、报警检测等系统的设备，获取边缘节点数据，实现安防信息化集成与联动。平台功能主要包括：智慧安检、立体防控、安检管控、综合管控、视频监控、网络管理等六大模块。</w:t>
      </w:r>
    </w:p>
    <w:p>
      <w:pPr>
        <w:pStyle w:val="52"/>
        <w:ind w:firstLine="480"/>
        <w:rPr>
          <w:rFonts w:hint="eastAsia" w:ascii="宋体" w:hAnsi="宋体" w:eastAsia="宋体" w:cs="宋体"/>
          <w:szCs w:val="22"/>
        </w:rPr>
      </w:pPr>
      <w:r>
        <w:rPr>
          <w:rFonts w:hint="eastAsia" w:ascii="宋体" w:hAnsi="宋体" w:cs="宋体"/>
          <w:szCs w:val="22"/>
          <w:lang w:val="en-US" w:eastAsia="zh-CN"/>
        </w:rPr>
        <w:t>8、</w:t>
      </w:r>
      <w:r>
        <w:rPr>
          <w:rFonts w:hint="eastAsia" w:ascii="宋体" w:hAnsi="宋体" w:eastAsia="宋体" w:cs="宋体"/>
          <w:szCs w:val="22"/>
        </w:rPr>
        <w:t>系统</w:t>
      </w:r>
      <w:r>
        <w:rPr>
          <w:rFonts w:hint="eastAsia" w:ascii="宋体" w:hAnsi="宋体" w:cs="宋体"/>
          <w:szCs w:val="22"/>
          <w:lang w:eastAsia="zh-CN"/>
        </w:rPr>
        <w:t>可</w:t>
      </w:r>
      <w:r>
        <w:rPr>
          <w:rFonts w:hint="eastAsia" w:ascii="宋体" w:hAnsi="宋体" w:eastAsia="宋体" w:cs="宋体"/>
          <w:szCs w:val="22"/>
        </w:rPr>
        <w:t>将过检人员从放包到取包的整个过程进行录像，为安检信息的回溯提供证据链；在安检门放置的两路人脸抓拍机，会对过检人员进行人像抓拍，接入并存储在智能分析仪中，帮助现场的安检人员及时查看相关安检信息，将人、包进行匹配。</w:t>
      </w:r>
    </w:p>
    <w:p>
      <w:pPr>
        <w:pStyle w:val="52"/>
        <w:ind w:firstLine="480"/>
        <w:rPr>
          <w:rFonts w:hint="eastAsia" w:ascii="宋体" w:hAnsi="宋体" w:eastAsia="宋体" w:cs="宋体"/>
          <w:szCs w:val="22"/>
        </w:rPr>
      </w:pPr>
      <w:r>
        <w:rPr>
          <w:rFonts w:hint="eastAsia" w:ascii="宋体" w:hAnsi="宋体" w:cs="宋体"/>
          <w:szCs w:val="22"/>
          <w:lang w:val="en-US" w:eastAsia="zh-CN"/>
        </w:rPr>
        <w:t>9、</w:t>
      </w:r>
      <w:r>
        <w:rPr>
          <w:rFonts w:hint="eastAsia" w:ascii="宋体" w:hAnsi="宋体" w:eastAsia="宋体" w:cs="宋体"/>
          <w:szCs w:val="22"/>
        </w:rPr>
        <w:t>通过这些前端实现多维感知数据的采集及前端智能化的处理。处理之后的数据聚边到域汇聚到联网平台，实现对数据的汇聚、存储及智能应用。最后将所有的数据接入云中心，使得业务数据融合，利用大数据进行多维分析预测。</w:t>
      </w:r>
    </w:p>
    <w:p>
      <w:pPr>
        <w:pStyle w:val="3"/>
        <w:numPr>
          <w:numId w:val="0"/>
        </w:numPr>
        <w:spacing w:line="240" w:lineRule="auto"/>
        <w:ind w:leftChars="0" w:firstLine="562" w:firstLineChars="200"/>
        <w:rPr>
          <w:rFonts w:hint="eastAsia" w:ascii="宋体" w:hAnsi="宋体" w:eastAsia="宋体" w:cs="宋体"/>
          <w:sz w:val="28"/>
          <w:szCs w:val="28"/>
          <w:lang w:eastAsia="zh-CN"/>
        </w:rPr>
      </w:pPr>
      <w:bookmarkStart w:id="4" w:name="_Toc28196"/>
      <w:bookmarkStart w:id="5" w:name="_Toc65847401"/>
      <w:r>
        <w:rPr>
          <w:rFonts w:hint="eastAsia" w:ascii="宋体" w:hAnsi="宋体" w:cs="宋体"/>
          <w:sz w:val="28"/>
          <w:szCs w:val="28"/>
          <w:lang w:eastAsia="zh-CN"/>
        </w:rPr>
        <w:t>五、</w:t>
      </w:r>
      <w:r>
        <w:rPr>
          <w:rFonts w:hint="eastAsia" w:ascii="宋体" w:hAnsi="宋体" w:eastAsia="宋体" w:cs="宋体"/>
          <w:sz w:val="28"/>
          <w:szCs w:val="28"/>
        </w:rPr>
        <w:t>主要设备指标</w:t>
      </w:r>
      <w:bookmarkEnd w:id="4"/>
      <w:bookmarkEnd w:id="5"/>
      <w:bookmarkStart w:id="6" w:name="_Toc35594261"/>
      <w:bookmarkEnd w:id="6"/>
      <w:bookmarkStart w:id="7" w:name="_Toc35596234"/>
      <w:bookmarkEnd w:id="7"/>
      <w:bookmarkStart w:id="8" w:name="_Toc35593241"/>
      <w:bookmarkEnd w:id="8"/>
      <w:bookmarkStart w:id="9" w:name="_Toc35675146"/>
      <w:bookmarkEnd w:id="9"/>
      <w:bookmarkStart w:id="10" w:name="_Toc35593165"/>
      <w:bookmarkEnd w:id="10"/>
      <w:bookmarkStart w:id="11" w:name="_Toc35596196"/>
      <w:bookmarkEnd w:id="11"/>
      <w:bookmarkStart w:id="12" w:name="_Toc35618329"/>
      <w:bookmarkEnd w:id="12"/>
      <w:bookmarkStart w:id="13" w:name="_Toc35596381"/>
      <w:bookmarkEnd w:id="13"/>
      <w:bookmarkStart w:id="14" w:name="_Toc35593262"/>
      <w:bookmarkEnd w:id="14"/>
      <w:bookmarkStart w:id="15" w:name="_Toc36563806"/>
      <w:bookmarkEnd w:id="15"/>
      <w:bookmarkStart w:id="16" w:name="_Toc36564855"/>
      <w:bookmarkEnd w:id="16"/>
      <w:bookmarkStart w:id="17" w:name="_Toc35850750"/>
      <w:bookmarkEnd w:id="17"/>
      <w:bookmarkStart w:id="18" w:name="_Toc51582184"/>
      <w:bookmarkEnd w:id="18"/>
      <w:bookmarkStart w:id="19" w:name="_Toc36630938"/>
      <w:bookmarkEnd w:id="19"/>
      <w:bookmarkStart w:id="20" w:name="_Toc55220356"/>
      <w:bookmarkEnd w:id="20"/>
      <w:bookmarkStart w:id="21" w:name="_Toc51581762"/>
      <w:bookmarkEnd w:id="21"/>
      <w:bookmarkStart w:id="22" w:name="_Toc65847341"/>
      <w:bookmarkEnd w:id="22"/>
      <w:bookmarkStart w:id="23" w:name="_Toc64905497"/>
      <w:bookmarkEnd w:id="23"/>
      <w:bookmarkStart w:id="24" w:name="_Toc36565459"/>
      <w:bookmarkEnd w:id="24"/>
      <w:bookmarkStart w:id="25" w:name="_Toc45291714"/>
      <w:bookmarkEnd w:id="25"/>
      <w:bookmarkStart w:id="26" w:name="_Toc55218337"/>
      <w:bookmarkEnd w:id="26"/>
      <w:bookmarkStart w:id="27" w:name="_Toc55219385"/>
      <w:bookmarkEnd w:id="27"/>
      <w:bookmarkStart w:id="28" w:name="_Toc36559894"/>
      <w:bookmarkEnd w:id="28"/>
      <w:bookmarkStart w:id="29" w:name="_Toc42267332"/>
      <w:bookmarkEnd w:id="29"/>
      <w:bookmarkStart w:id="30" w:name="_Toc55217719"/>
      <w:bookmarkEnd w:id="30"/>
      <w:bookmarkStart w:id="31" w:name="_Toc51581719"/>
      <w:bookmarkEnd w:id="31"/>
      <w:bookmarkStart w:id="32" w:name="_Toc35675629"/>
      <w:bookmarkEnd w:id="32"/>
      <w:bookmarkStart w:id="33" w:name="_Toc36564819"/>
      <w:bookmarkEnd w:id="33"/>
      <w:bookmarkStart w:id="34" w:name="_Toc36630986"/>
      <w:bookmarkEnd w:id="34"/>
      <w:bookmarkStart w:id="35" w:name="_Toc36564783"/>
      <w:bookmarkEnd w:id="35"/>
      <w:bookmarkStart w:id="36" w:name="_Toc35675579"/>
      <w:bookmarkEnd w:id="36"/>
      <w:bookmarkStart w:id="37" w:name="_Toc35683792"/>
      <w:bookmarkEnd w:id="37"/>
      <w:bookmarkStart w:id="38" w:name="_Toc55218654"/>
      <w:bookmarkEnd w:id="38"/>
      <w:bookmarkStart w:id="39" w:name="_Toc55218895"/>
      <w:bookmarkEnd w:id="39"/>
      <w:bookmarkStart w:id="40" w:name="_Toc35689848"/>
      <w:bookmarkEnd w:id="40"/>
      <w:bookmarkStart w:id="41" w:name="_Toc65847402"/>
      <w:bookmarkEnd w:id="41"/>
      <w:bookmarkStart w:id="42" w:name="_Toc35675679"/>
      <w:bookmarkEnd w:id="42"/>
      <w:bookmarkStart w:id="43" w:name="_Toc36482797"/>
      <w:bookmarkEnd w:id="43"/>
      <w:bookmarkStart w:id="44" w:name="_Toc23792875"/>
      <w:bookmarkEnd w:id="44"/>
      <w:bookmarkStart w:id="45" w:name="_Toc23792994"/>
      <w:bookmarkEnd w:id="45"/>
      <w:bookmarkStart w:id="46" w:name="_Toc23788456"/>
      <w:bookmarkEnd w:id="46"/>
      <w:bookmarkStart w:id="47" w:name="_Toc23791516"/>
      <w:bookmarkEnd w:id="47"/>
      <w:bookmarkStart w:id="48" w:name="_Toc23774845"/>
      <w:bookmarkEnd w:id="48"/>
      <w:bookmarkStart w:id="49" w:name="_Toc23794862"/>
      <w:bookmarkEnd w:id="49"/>
      <w:bookmarkStart w:id="50" w:name="_Toc23845729"/>
      <w:bookmarkEnd w:id="50"/>
      <w:bookmarkStart w:id="51" w:name="_Toc23845919"/>
      <w:bookmarkEnd w:id="51"/>
      <w:bookmarkStart w:id="52" w:name="_Toc23923612"/>
      <w:bookmarkEnd w:id="52"/>
      <w:bookmarkStart w:id="53" w:name="_Toc23788390"/>
      <w:bookmarkEnd w:id="53"/>
      <w:bookmarkStart w:id="54" w:name="_Toc24019546"/>
      <w:bookmarkEnd w:id="54"/>
      <w:bookmarkStart w:id="55" w:name="_Toc23925268"/>
      <w:bookmarkEnd w:id="55"/>
      <w:bookmarkStart w:id="56" w:name="_Toc24383603"/>
      <w:bookmarkEnd w:id="56"/>
      <w:bookmarkStart w:id="57" w:name="_Toc24557924"/>
      <w:bookmarkEnd w:id="57"/>
      <w:bookmarkStart w:id="58" w:name="_Toc24557941"/>
      <w:bookmarkEnd w:id="58"/>
      <w:bookmarkStart w:id="59" w:name="_Toc24642470"/>
      <w:bookmarkEnd w:id="59"/>
      <w:bookmarkStart w:id="60" w:name="_Toc24642483"/>
      <w:bookmarkEnd w:id="60"/>
      <w:bookmarkStart w:id="61" w:name="_Toc24703061"/>
      <w:bookmarkEnd w:id="61"/>
      <w:bookmarkStart w:id="62" w:name="_Toc24703070"/>
      <w:bookmarkEnd w:id="62"/>
      <w:bookmarkStart w:id="63" w:name="_Toc24703638"/>
      <w:bookmarkEnd w:id="63"/>
      <w:bookmarkStart w:id="64" w:name="_Toc24703682"/>
      <w:bookmarkEnd w:id="64"/>
      <w:bookmarkStart w:id="65" w:name="_Toc24704891"/>
      <w:bookmarkEnd w:id="65"/>
      <w:bookmarkStart w:id="66" w:name="_Toc24789117"/>
      <w:bookmarkEnd w:id="66"/>
      <w:bookmarkStart w:id="67" w:name="_Toc26200216"/>
      <w:bookmarkEnd w:id="67"/>
      <w:bookmarkStart w:id="68" w:name="_Toc33531518"/>
      <w:bookmarkEnd w:id="68"/>
      <w:bookmarkStart w:id="69" w:name="_Toc33541574"/>
      <w:bookmarkEnd w:id="69"/>
      <w:bookmarkStart w:id="70" w:name="_Toc33625251"/>
      <w:bookmarkEnd w:id="70"/>
      <w:bookmarkStart w:id="71" w:name="_Toc33625300"/>
      <w:bookmarkEnd w:id="71"/>
      <w:bookmarkStart w:id="72" w:name="_Toc33625533"/>
      <w:bookmarkEnd w:id="72"/>
      <w:bookmarkStart w:id="73" w:name="_Toc33710325"/>
      <w:bookmarkEnd w:id="73"/>
      <w:bookmarkStart w:id="74" w:name="_Toc33782310"/>
      <w:bookmarkEnd w:id="74"/>
      <w:bookmarkStart w:id="75" w:name="_Toc35432944"/>
      <w:bookmarkEnd w:id="75"/>
      <w:bookmarkStart w:id="76" w:name="_Toc35434797"/>
      <w:bookmarkEnd w:id="76"/>
      <w:bookmarkStart w:id="77" w:name="_Toc35441599"/>
      <w:bookmarkEnd w:id="77"/>
      <w:bookmarkStart w:id="78" w:name="_Toc35442826"/>
      <w:bookmarkEnd w:id="78"/>
      <w:bookmarkStart w:id="79" w:name="_Toc34230875"/>
      <w:bookmarkStart w:id="80" w:name="_Toc32102"/>
      <w:r>
        <w:rPr>
          <w:rFonts w:hint="eastAsia" w:ascii="宋体" w:hAnsi="宋体" w:cs="宋体"/>
          <w:sz w:val="28"/>
          <w:szCs w:val="28"/>
          <w:lang w:eastAsia="zh-CN"/>
        </w:rPr>
        <w:t>参数</w:t>
      </w:r>
    </w:p>
    <w:p>
      <w:pPr>
        <w:pStyle w:val="4"/>
        <w:numPr>
          <w:numId w:val="0"/>
        </w:numPr>
        <w:spacing w:line="240" w:lineRule="auto"/>
        <w:ind w:left="1" w:leftChars="0" w:firstLine="281" w:firstLineChars="100"/>
        <w:rPr>
          <w:rFonts w:hint="eastAsia" w:ascii="宋体" w:hAnsi="宋体" w:eastAsia="宋体" w:cs="宋体"/>
        </w:rPr>
      </w:pPr>
      <w:bookmarkStart w:id="81" w:name="_Toc65847403"/>
      <w:r>
        <w:rPr>
          <w:rFonts w:hint="eastAsia" w:ascii="宋体" w:hAnsi="宋体" w:cs="宋体"/>
          <w:sz w:val="28"/>
          <w:szCs w:val="28"/>
          <w:lang w:eastAsia="zh-CN"/>
        </w:rPr>
        <w:t>（一）</w:t>
      </w:r>
      <w:r>
        <w:rPr>
          <w:rFonts w:hint="eastAsia" w:ascii="宋体" w:hAnsi="宋体" w:eastAsia="宋体" w:cs="宋体"/>
          <w:sz w:val="28"/>
          <w:szCs w:val="28"/>
        </w:rPr>
        <w:t>智能X光安检机</w:t>
      </w:r>
      <w:bookmarkEnd w:id="79"/>
      <w:bookmarkEnd w:id="80"/>
      <w:bookmarkEnd w:id="81"/>
    </w:p>
    <w:tbl>
      <w:tblPr>
        <w:tblStyle w:val="26"/>
        <w:tblW w:w="93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0" w:type="auto"/>
            <w:shd w:val="clear" w:color="auto" w:fill="auto"/>
            <w:vAlign w:val="center"/>
          </w:tcPr>
          <w:p>
            <w:pPr>
              <w:widowControl/>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技术参数需求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8" w:hRule="atLeast"/>
        </w:trPr>
        <w:tc>
          <w:tcPr>
            <w:tcW w:w="0" w:type="auto"/>
            <w:shd w:val="clear" w:color="auto" w:fill="auto"/>
            <w:vAlign w:val="center"/>
          </w:tcPr>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1、通道尺寸：≥500mm×300mm（宽×高）</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2、外形尺寸：≤1590mm×760mm×1160mm（长×宽×高）</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3、传送带高度：≤670mm</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4、电源：220VAC(-15%~</w:t>
            </w:r>
            <w:r>
              <w:rPr>
                <w:rFonts w:hint="eastAsia" w:ascii="宋体" w:hAnsi="宋体" w:eastAsia="宋体" w:cs="宋体"/>
                <w:color w:val="000000"/>
                <w:kern w:val="0"/>
                <w:sz w:val="24"/>
                <w:szCs w:val="24"/>
              </w:rPr>
              <w:t>±10%)  50±3Hz</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5、工作温度/湿度：0℃~45℃；10%至90%(在不凝结水滴状态下)</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6、功耗：≤0.56kVA</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7、管电压：140kV</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8、管电流：0.8mA（可调）</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9、X射线冷却/工作周期：油冷/连续</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10、设备由 X 射线源、X 射线探测器、控制部件、传送带、计算机等组成，采用单源多能量X射线检查技术，能够准确识别有机物（橙色显示）、无机物（蓝色显示）和混合物（绿色显示）。</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11、设备噪声：设备正常工作时在距设备外表面1m的任意处，设备噪声应≤60dB(A)</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12、外壳防护等级应符合GB/T 4208-2017的规定，不低于IP20的要求</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13、设备智能识别算法，实现对违禁品的智能识别功能。当检测到以下违禁品时，应能自动识别并红色方框圈定、声音报警：1、刀具（匕首、切刀、美工刀、弹簧刀）2、枪支（仿真手枪、仿真步枪、仿真子弹、仿真枪弹夹、仿真枪套筒、仿真枪枪管、仿真枪握把） 3、警用器械（指虎、甩棍、电击器、手铐） 4、压力容器 5、瓶装液体 6、鞭炮 7、电子设备（笔记本电脑、手机、平板电脑） 8、锂电池或充电宝 9、工具（扳手、剪刀、斜口钳、螺丝刀、压线钳、锤子、斧头）10、打火机 11、雨伞</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14、图像回拉：设备可按图像生成顺序连续回调当前用户的历史过检图像，无图像数量限制</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15、保护接地：设备应具有可供连接保护接地导线的保护接地端子，应有明显的标识；保护接地端与保护接地的所有可触及16、金属部件之间的电阻＜0.09</w:t>
            </w:r>
            <w:r>
              <w:rPr>
                <w:rFonts w:hint="eastAsia" w:ascii="宋体" w:hAnsi="宋体" w:eastAsia="宋体" w:cs="宋体"/>
                <w:color w:val="000000"/>
                <w:kern w:val="0"/>
                <w:sz w:val="24"/>
                <w:szCs w:val="24"/>
              </w:rPr>
              <w:t>Ω</w:t>
            </w:r>
            <w:r>
              <w:rPr>
                <w:rFonts w:hint="eastAsia" w:ascii="宋体" w:hAnsi="宋体" w:eastAsia="宋体" w:cs="宋体"/>
                <w:color w:val="000000"/>
                <w:kern w:val="0"/>
                <w:sz w:val="24"/>
                <w:szCs w:val="24"/>
              </w:rPr>
              <w:t>；接地线的颜色应是黄绿色。</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17、超薄物体检测功能：当被测物过薄而无法遮挡光障时，人工按下操作键盘上的相应功能键，设备能检测出厚度0.01mm的标准塞尺（须提供公安部检验报告复印件证明并加盖原厂盖章）</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18、空间分辨力：设备在0.22m/s、0.32m/s速度下正常工作时，能够分辨最小线对直径0.8mm （须提供公安部检验报告复印件证明并加盖原厂盖章）</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19、缩放功能：设备可通过鼠标滚轮对图像连续放大，放大倍数应至少可配置为2～128倍，并可通过鼠标实现对图像的移动。设备应具有对过包图像选中放大或缩小的功能，并可根据选中区域的移动而移动。（须提供公安部检验报告复印件证明并加盖原厂盖章）</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20、传送带承载能力：输送装置的负载能力应不低于260kg。（须提供公安部检验报告复印件证明并加盖原厂盖章）</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21、智能节能功能：设备应能通过入口处的IPC摄像头实现智能节能功能。当设备入口无人员出入时，传送装置应自动停止；当有人员出现在设备入口时，传送装置应自动运行。（须提供公安部检验报告复印件证明并加盖原厂盖章）</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22、疑似危险品识别自学习功能：设备应具有疑似危险品识别自学习功能，支持将显示的未识别疑似危险品人工确认为疑似危险品，使设备在再次出现该疑似危险品时能自动识别。（须提供公安部检验报告复印件证明并加盖原厂盖章）</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23、图像信噪比：X射线图像信噪比（SNR）大于等于35dB。（须提供公安部检验报告复印件证明并加盖原厂盖章）</w:t>
            </w:r>
          </w:p>
          <w:p>
            <w:pPr>
              <w:widowControl/>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24、智能识别灵敏度设置：设备对违禁品的智能识别灵敏度应可调节，调节档位可分为1-5档。（须提供公安部检验报告复印件证明并加盖原厂盖章）</w:t>
            </w:r>
          </w:p>
        </w:tc>
      </w:tr>
    </w:tbl>
    <w:p>
      <w:pPr>
        <w:pStyle w:val="4"/>
        <w:numPr>
          <w:numId w:val="0"/>
        </w:numPr>
        <w:ind w:left="1" w:leftChars="0" w:firstLine="281" w:firstLineChars="100"/>
        <w:rPr>
          <w:rFonts w:hint="eastAsia" w:ascii="宋体" w:hAnsi="宋体" w:eastAsia="宋体" w:cs="宋体"/>
        </w:rPr>
      </w:pPr>
      <w:bookmarkStart w:id="82" w:name="_Toc65847407"/>
      <w:r>
        <w:rPr>
          <w:rFonts w:hint="eastAsia" w:ascii="宋体" w:hAnsi="宋体" w:cs="宋体"/>
          <w:sz w:val="28"/>
          <w:szCs w:val="28"/>
          <w:lang w:eastAsia="zh-CN"/>
        </w:rPr>
        <w:t>（二）</w:t>
      </w:r>
      <w:r>
        <w:rPr>
          <w:rFonts w:hint="eastAsia" w:ascii="宋体" w:hAnsi="宋体" w:eastAsia="宋体" w:cs="宋体"/>
          <w:sz w:val="28"/>
          <w:szCs w:val="28"/>
        </w:rPr>
        <w:t>测温安检</w:t>
      </w:r>
      <w:r>
        <w:rPr>
          <w:rFonts w:hint="eastAsia" w:ascii="宋体" w:hAnsi="宋体" w:eastAsia="宋体" w:cs="宋体"/>
          <w:sz w:val="28"/>
          <w:szCs w:val="28"/>
        </w:rPr>
        <w:t>门</w:t>
      </w:r>
      <w:bookmarkEnd w:id="82"/>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0" w:type="auto"/>
            <w:shd w:val="clear" w:color="auto" w:fill="auto"/>
            <w:vAlign w:val="center"/>
          </w:tcPr>
          <w:p>
            <w:pPr>
              <w:widowControl/>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技术参数需求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trPr>
        <w:tc>
          <w:tcPr>
            <w:tcW w:w="0" w:type="auto"/>
            <w:shd w:val="clear" w:color="auto" w:fill="auto"/>
            <w:vAlign w:val="center"/>
          </w:tcPr>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电源输入 220V</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功率 小于 25W</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工作温度和湿度 -20℃</w:t>
            </w:r>
            <w:r>
              <w:rPr>
                <w:rFonts w:hint="eastAsia" w:ascii="宋体" w:hAnsi="宋体" w:eastAsia="宋体" w:cs="宋体"/>
                <w:color w:val="000000"/>
                <w:kern w:val="0"/>
                <w:sz w:val="24"/>
                <w:szCs w:val="24"/>
              </w:rPr>
              <w:t>─</w:t>
            </w:r>
            <w:r>
              <w:rPr>
                <w:rFonts w:hint="eastAsia" w:ascii="宋体" w:hAnsi="宋体" w:eastAsia="宋体" w:cs="宋体"/>
                <w:color w:val="000000"/>
                <w:kern w:val="0"/>
                <w:sz w:val="24"/>
                <w:szCs w:val="24"/>
              </w:rPr>
              <w:t>55</w:t>
            </w:r>
            <w:r>
              <w:rPr>
                <w:rFonts w:hint="eastAsia" w:ascii="宋体" w:hAnsi="宋体" w:eastAsia="宋体" w:cs="宋体"/>
                <w:color w:val="000000"/>
                <w:kern w:val="0"/>
                <w:sz w:val="24"/>
                <w:szCs w:val="24"/>
              </w:rPr>
              <w:t>℃</w:t>
            </w:r>
            <w:r>
              <w:rPr>
                <w:rFonts w:hint="eastAsia" w:ascii="宋体" w:hAnsi="宋体" w:eastAsia="宋体" w:cs="宋体"/>
                <w:color w:val="000000"/>
                <w:kern w:val="0"/>
                <w:sz w:val="24"/>
                <w:szCs w:val="24"/>
              </w:rPr>
              <w:t>， 95%，无冷凝</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防护等级 IP41</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外形尺寸 (mm)2200(高)x840(宽)x600(深)</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通道尺寸 (mm)2000(高)x710(宽)x500(深)</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无感测温：可对通过安检门的人员进行脸部温度测试并进行人员准确匹配，温度精度：</w:t>
            </w:r>
            <w:r>
              <w:rPr>
                <w:rFonts w:hint="eastAsia" w:ascii="宋体" w:hAnsi="宋体" w:eastAsia="宋体" w:cs="宋体"/>
                <w:color w:val="000000"/>
                <w:kern w:val="0"/>
                <w:sz w:val="24"/>
                <w:szCs w:val="24"/>
              </w:rPr>
              <w:t>±0.5</w:t>
            </w:r>
            <w:r>
              <w:rPr>
                <w:rFonts w:hint="eastAsia" w:ascii="宋体" w:hAnsi="宋体" w:eastAsia="宋体" w:cs="宋体"/>
                <w:color w:val="000000"/>
                <w:kern w:val="0"/>
                <w:sz w:val="24"/>
                <w:szCs w:val="24"/>
              </w:rPr>
              <w:t>℃</w:t>
            </w:r>
            <w:r>
              <w:rPr>
                <w:rFonts w:hint="eastAsia" w:ascii="宋体" w:hAnsi="宋体" w:eastAsia="宋体" w:cs="宋体"/>
                <w:color w:val="000000"/>
                <w:kern w:val="0"/>
                <w:sz w:val="24"/>
                <w:szCs w:val="24"/>
              </w:rPr>
              <w:t>，测试距离：0.3 米-3 米，测试人员身高：1.45米-1.85 米；</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人体温度初筛：可通过安全温度阈值设置，超过该阈值，可联动安检门本地声光报警，建立首道防线；</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门体显示：采用 7 寸液晶屏，可显示通过人数、金属报警人数、实时温度、温度异常人数统计；</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金属检测：可检测到 1 元硬币大小的铁磁性金属，有效进行违规物品核验；</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多区位报警功能：人体不同位置的多个金属通过安检门时会同时报警，并可以指示多个金属的位置，最多支持 12 区位。</w:t>
            </w:r>
          </w:p>
          <w:p>
            <w:pPr>
              <w:widowControl/>
              <w:jc w:val="left"/>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联网功能：可以单机联网，通过 web 端进行参数配置；也可以搭配平台进行客流数据、报警数据的汇聚应用；</w:t>
            </w:r>
          </w:p>
          <w:p>
            <w:pPr>
              <w:widowControl/>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模块化组件设计：运输、维护方便快捷。</w:t>
            </w:r>
          </w:p>
        </w:tc>
      </w:tr>
    </w:tbl>
    <w:p>
      <w:pPr>
        <w:pStyle w:val="3"/>
        <w:numPr>
          <w:numId w:val="0"/>
        </w:numPr>
        <w:ind w:leftChars="0" w:firstLine="562" w:firstLineChars="200"/>
        <w:rPr>
          <w:rFonts w:hint="eastAsia" w:ascii="宋体" w:hAnsi="宋体" w:eastAsia="宋体" w:cs="宋体"/>
          <w:sz w:val="28"/>
          <w:szCs w:val="28"/>
        </w:rPr>
      </w:pPr>
      <w:bookmarkStart w:id="83" w:name="_Toc65847415"/>
      <w:bookmarkStart w:id="84" w:name="_Toc23002"/>
      <w:bookmarkStart w:id="85" w:name="_Toc36482804"/>
      <w:r>
        <w:rPr>
          <w:rFonts w:hint="eastAsia" w:ascii="宋体" w:hAnsi="宋体" w:cs="宋体"/>
          <w:sz w:val="28"/>
          <w:szCs w:val="28"/>
          <w:lang w:eastAsia="zh-CN"/>
        </w:rPr>
        <w:t>六、</w:t>
      </w:r>
      <w:r>
        <w:rPr>
          <w:rFonts w:hint="eastAsia" w:ascii="宋体" w:hAnsi="宋体" w:eastAsia="宋体" w:cs="宋体"/>
          <w:sz w:val="28"/>
          <w:szCs w:val="28"/>
        </w:rPr>
        <w:t>设备</w:t>
      </w:r>
      <w:r>
        <w:rPr>
          <w:rFonts w:hint="eastAsia" w:ascii="宋体" w:hAnsi="宋体" w:cs="宋体"/>
          <w:sz w:val="28"/>
          <w:szCs w:val="28"/>
          <w:lang w:eastAsia="zh-CN"/>
        </w:rPr>
        <w:t>报价</w:t>
      </w:r>
      <w:r>
        <w:rPr>
          <w:rFonts w:hint="eastAsia" w:ascii="宋体" w:hAnsi="宋体" w:eastAsia="宋体" w:cs="宋体"/>
          <w:sz w:val="28"/>
          <w:szCs w:val="28"/>
        </w:rPr>
        <w:t>清单</w:t>
      </w:r>
      <w:bookmarkEnd w:id="83"/>
    </w:p>
    <w:tbl>
      <w:tblPr>
        <w:tblStyle w:val="26"/>
        <w:tblW w:w="4875" w:type="pct"/>
        <w:jc w:val="center"/>
        <w:tblLayout w:type="autofit"/>
        <w:tblCellMar>
          <w:top w:w="0" w:type="dxa"/>
          <w:left w:w="108" w:type="dxa"/>
          <w:bottom w:w="0" w:type="dxa"/>
          <w:right w:w="108" w:type="dxa"/>
        </w:tblCellMar>
      </w:tblPr>
      <w:tblGrid>
        <w:gridCol w:w="881"/>
        <w:gridCol w:w="1589"/>
        <w:gridCol w:w="2379"/>
        <w:gridCol w:w="1366"/>
        <w:gridCol w:w="1169"/>
        <w:gridCol w:w="1672"/>
      </w:tblGrid>
      <w:tr>
        <w:tblPrEx>
          <w:tblCellMar>
            <w:top w:w="0" w:type="dxa"/>
            <w:left w:w="108" w:type="dxa"/>
            <w:bottom w:w="0" w:type="dxa"/>
            <w:right w:w="108" w:type="dxa"/>
          </w:tblCellMar>
        </w:tblPrEx>
        <w:trPr>
          <w:trHeight w:val="640" w:hRule="atLeast"/>
          <w:tblHeader/>
          <w:jc w:val="center"/>
        </w:trPr>
        <w:tc>
          <w:tcPr>
            <w:tcW w:w="486"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spacing w:line="360" w:lineRule="auto"/>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序号</w:t>
            </w:r>
          </w:p>
        </w:tc>
        <w:tc>
          <w:tcPr>
            <w:tcW w:w="877" w:type="pct"/>
            <w:tcBorders>
              <w:top w:val="single" w:color="auto" w:sz="4" w:space="0"/>
              <w:left w:val="nil"/>
              <w:bottom w:val="single" w:color="auto" w:sz="4" w:space="0"/>
              <w:right w:val="single" w:color="auto" w:sz="4" w:space="0"/>
            </w:tcBorders>
            <w:shd w:val="clear" w:color="000000" w:fill="FFFFFF"/>
            <w:vAlign w:val="center"/>
          </w:tcPr>
          <w:p>
            <w:pPr>
              <w:widowControl/>
              <w:spacing w:line="360" w:lineRule="auto"/>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设备名称</w:t>
            </w:r>
          </w:p>
        </w:tc>
        <w:tc>
          <w:tcPr>
            <w:tcW w:w="1313" w:type="pct"/>
            <w:tcBorders>
              <w:top w:val="single" w:color="auto" w:sz="4" w:space="0"/>
              <w:left w:val="nil"/>
              <w:bottom w:val="single" w:color="auto" w:sz="4" w:space="0"/>
              <w:right w:val="single" w:color="auto" w:sz="4" w:space="0"/>
            </w:tcBorders>
            <w:shd w:val="clear" w:color="000000" w:fill="FFFFFF"/>
            <w:vAlign w:val="center"/>
          </w:tcPr>
          <w:p>
            <w:pPr>
              <w:widowControl/>
              <w:spacing w:line="360" w:lineRule="auto"/>
              <w:jc w:val="center"/>
              <w:rPr>
                <w:rFonts w:hint="eastAsia" w:ascii="宋体" w:hAnsi="宋体" w:eastAsia="宋体" w:cs="宋体"/>
                <w:b/>
                <w:bCs/>
                <w:color w:val="000000"/>
                <w:kern w:val="0"/>
                <w:sz w:val="24"/>
                <w:szCs w:val="24"/>
                <w:lang w:eastAsia="zh-CN"/>
              </w:rPr>
            </w:pPr>
            <w:r>
              <w:rPr>
                <w:rFonts w:hint="eastAsia" w:ascii="宋体" w:hAnsi="宋体" w:cs="宋体"/>
                <w:b/>
                <w:bCs/>
                <w:color w:val="000000"/>
                <w:kern w:val="0"/>
                <w:sz w:val="24"/>
                <w:szCs w:val="24"/>
                <w:lang w:eastAsia="zh-CN"/>
              </w:rPr>
              <w:t>品牌型号</w:t>
            </w:r>
          </w:p>
        </w:tc>
        <w:tc>
          <w:tcPr>
            <w:tcW w:w="754" w:type="pct"/>
            <w:tcBorders>
              <w:top w:val="single" w:color="auto" w:sz="4" w:space="0"/>
              <w:left w:val="nil"/>
              <w:bottom w:val="single" w:color="auto" w:sz="4" w:space="0"/>
              <w:right w:val="single" w:color="auto" w:sz="4" w:space="0"/>
            </w:tcBorders>
            <w:shd w:val="clear" w:color="000000" w:fill="FFFFFF"/>
            <w:vAlign w:val="center"/>
          </w:tcPr>
          <w:p>
            <w:pPr>
              <w:widowControl/>
              <w:spacing w:line="360" w:lineRule="auto"/>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单位</w:t>
            </w:r>
          </w:p>
        </w:tc>
        <w:tc>
          <w:tcPr>
            <w:tcW w:w="645" w:type="pct"/>
            <w:tcBorders>
              <w:top w:val="single" w:color="auto" w:sz="4" w:space="0"/>
              <w:left w:val="nil"/>
              <w:bottom w:val="single" w:color="auto" w:sz="4" w:space="0"/>
              <w:right w:val="single" w:color="auto" w:sz="4" w:space="0"/>
            </w:tcBorders>
            <w:shd w:val="clear" w:color="000000" w:fill="FFFFFF"/>
            <w:vAlign w:val="center"/>
          </w:tcPr>
          <w:p>
            <w:pPr>
              <w:widowControl/>
              <w:spacing w:line="360" w:lineRule="auto"/>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数量</w:t>
            </w:r>
          </w:p>
        </w:tc>
        <w:tc>
          <w:tcPr>
            <w:tcW w:w="923" w:type="pct"/>
            <w:tcBorders>
              <w:top w:val="single" w:color="auto" w:sz="4" w:space="0"/>
              <w:left w:val="nil"/>
              <w:bottom w:val="single" w:color="auto" w:sz="4" w:space="0"/>
              <w:right w:val="single" w:color="auto" w:sz="4" w:space="0"/>
            </w:tcBorders>
            <w:shd w:val="clear" w:color="000000" w:fill="FFFFFF"/>
            <w:vAlign w:val="center"/>
          </w:tcPr>
          <w:p>
            <w:pPr>
              <w:widowControl/>
              <w:spacing w:line="360" w:lineRule="auto"/>
              <w:jc w:val="center"/>
              <w:rPr>
                <w:rFonts w:hint="eastAsia" w:ascii="宋体" w:hAnsi="宋体" w:eastAsia="宋体" w:cs="宋体"/>
                <w:b/>
                <w:bCs/>
                <w:color w:val="000000"/>
                <w:kern w:val="0"/>
                <w:sz w:val="24"/>
                <w:szCs w:val="24"/>
                <w:lang w:eastAsia="zh-CN"/>
              </w:rPr>
            </w:pPr>
            <w:r>
              <w:rPr>
                <w:rFonts w:hint="eastAsia" w:ascii="宋体" w:hAnsi="宋体" w:cs="宋体"/>
                <w:b/>
                <w:bCs/>
                <w:color w:val="000000"/>
                <w:kern w:val="0"/>
                <w:sz w:val="24"/>
                <w:szCs w:val="24"/>
                <w:lang w:eastAsia="zh-CN"/>
              </w:rPr>
              <w:t>单价（万元））</w:t>
            </w:r>
          </w:p>
        </w:tc>
      </w:tr>
      <w:tr>
        <w:tblPrEx>
          <w:tblCellMar>
            <w:top w:w="0" w:type="dxa"/>
            <w:left w:w="108" w:type="dxa"/>
            <w:bottom w:w="0" w:type="dxa"/>
            <w:right w:w="108" w:type="dxa"/>
          </w:tblCellMar>
        </w:tblPrEx>
        <w:trPr>
          <w:trHeight w:val="640" w:hRule="atLeast"/>
          <w:jc w:val="center"/>
        </w:trPr>
        <w:tc>
          <w:tcPr>
            <w:tcW w:w="486" w:type="pct"/>
            <w:tcBorders>
              <w:top w:val="nil"/>
              <w:left w:val="single" w:color="auto" w:sz="4" w:space="0"/>
              <w:bottom w:val="single" w:color="auto" w:sz="4" w:space="0"/>
              <w:right w:val="single" w:color="auto" w:sz="4" w:space="0"/>
            </w:tcBorders>
            <w:shd w:val="clear" w:color="000000" w:fill="FFFFFF"/>
            <w:vAlign w:val="center"/>
          </w:tcPr>
          <w:p>
            <w:pPr>
              <w:widowControl/>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877" w:type="pct"/>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智能测温安检门</w:t>
            </w:r>
          </w:p>
        </w:tc>
        <w:tc>
          <w:tcPr>
            <w:tcW w:w="1313" w:type="pct"/>
            <w:tcBorders>
              <w:top w:val="nil"/>
              <w:left w:val="nil"/>
              <w:bottom w:val="single" w:color="auto" w:sz="4" w:space="0"/>
              <w:right w:val="single" w:color="auto" w:sz="4" w:space="0"/>
            </w:tcBorders>
            <w:shd w:val="clear" w:color="000000" w:fill="FFFFFF"/>
            <w:vAlign w:val="center"/>
          </w:tcPr>
          <w:p>
            <w:pPr>
              <w:widowControl/>
              <w:spacing w:after="240"/>
              <w:rPr>
                <w:rFonts w:hint="eastAsia" w:ascii="宋体" w:hAnsi="宋体" w:eastAsia="宋体" w:cs="宋体"/>
                <w:color w:val="000000"/>
                <w:kern w:val="0"/>
                <w:sz w:val="24"/>
                <w:szCs w:val="24"/>
              </w:rPr>
            </w:pPr>
          </w:p>
        </w:tc>
        <w:tc>
          <w:tcPr>
            <w:tcW w:w="754" w:type="pct"/>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台</w:t>
            </w:r>
          </w:p>
        </w:tc>
        <w:tc>
          <w:tcPr>
            <w:tcW w:w="645" w:type="pct"/>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923" w:type="pct"/>
            <w:tcBorders>
              <w:top w:val="nil"/>
              <w:left w:val="single" w:color="auto" w:sz="4" w:space="0"/>
              <w:bottom w:val="single" w:color="000000" w:sz="4" w:space="0"/>
              <w:right w:val="single" w:color="auto" w:sz="4" w:space="0"/>
            </w:tcBorders>
            <w:shd w:val="clear" w:color="000000" w:fill="FFFFFF"/>
            <w:vAlign w:val="center"/>
          </w:tcPr>
          <w:p>
            <w:pPr>
              <w:widowControl/>
              <w:jc w:val="both"/>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928" w:hRule="atLeast"/>
          <w:jc w:val="center"/>
        </w:trPr>
        <w:tc>
          <w:tcPr>
            <w:tcW w:w="486" w:type="pct"/>
            <w:tcBorders>
              <w:top w:val="nil"/>
              <w:left w:val="single" w:color="auto" w:sz="4" w:space="0"/>
              <w:bottom w:val="single" w:color="auto" w:sz="4" w:space="0"/>
              <w:right w:val="single" w:color="auto" w:sz="4" w:space="0"/>
            </w:tcBorders>
            <w:shd w:val="clear" w:color="000000" w:fill="FFFFFF"/>
            <w:vAlign w:val="center"/>
          </w:tcPr>
          <w:p>
            <w:pPr>
              <w:widowControl/>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877" w:type="pct"/>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4"/>
                <w:szCs w:val="24"/>
              </w:rPr>
            </w:pPr>
            <w:bookmarkStart w:id="86" w:name="_Hlk66268144"/>
            <w:r>
              <w:rPr>
                <w:rFonts w:hint="eastAsia" w:ascii="宋体" w:hAnsi="宋体" w:eastAsia="宋体" w:cs="宋体"/>
                <w:kern w:val="0"/>
                <w:sz w:val="24"/>
                <w:szCs w:val="24"/>
              </w:rPr>
              <w:t>安检机</w:t>
            </w:r>
            <w:bookmarkEnd w:id="86"/>
          </w:p>
        </w:tc>
        <w:tc>
          <w:tcPr>
            <w:tcW w:w="1313" w:type="pct"/>
            <w:tcBorders>
              <w:top w:val="nil"/>
              <w:left w:val="nil"/>
              <w:bottom w:val="single" w:color="auto" w:sz="4" w:space="0"/>
              <w:right w:val="single" w:color="auto" w:sz="4" w:space="0"/>
            </w:tcBorders>
            <w:shd w:val="clear" w:color="000000" w:fill="FFFFFF"/>
            <w:vAlign w:val="center"/>
          </w:tcPr>
          <w:p>
            <w:pPr>
              <w:widowControl/>
              <w:rPr>
                <w:rFonts w:hint="eastAsia" w:ascii="宋体" w:hAnsi="宋体" w:eastAsia="宋体" w:cs="宋体"/>
                <w:kern w:val="0"/>
                <w:sz w:val="24"/>
                <w:szCs w:val="24"/>
              </w:rPr>
            </w:pPr>
          </w:p>
        </w:tc>
        <w:tc>
          <w:tcPr>
            <w:tcW w:w="754" w:type="pct"/>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台</w:t>
            </w:r>
          </w:p>
        </w:tc>
        <w:tc>
          <w:tcPr>
            <w:tcW w:w="645" w:type="pct"/>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1</w:t>
            </w:r>
          </w:p>
        </w:tc>
        <w:tc>
          <w:tcPr>
            <w:tcW w:w="923" w:type="pct"/>
            <w:tcBorders>
              <w:top w:val="nil"/>
              <w:left w:val="single" w:color="auto" w:sz="4" w:space="0"/>
              <w:bottom w:val="single" w:color="000000" w:sz="4" w:space="0"/>
              <w:right w:val="single" w:color="auto" w:sz="4" w:space="0"/>
            </w:tcBorders>
            <w:vAlign w:val="center"/>
          </w:tcPr>
          <w:p>
            <w:pPr>
              <w:widowControl/>
              <w:spacing w:line="360" w:lineRule="auto"/>
              <w:jc w:val="left"/>
              <w:rPr>
                <w:rFonts w:hint="eastAsia" w:ascii="宋体" w:hAnsi="宋体" w:eastAsia="宋体" w:cs="宋体"/>
                <w:kern w:val="0"/>
                <w:sz w:val="24"/>
                <w:szCs w:val="24"/>
              </w:rPr>
            </w:pPr>
          </w:p>
        </w:tc>
      </w:tr>
      <w:tr>
        <w:trPr>
          <w:trHeight w:val="1122" w:hRule="atLeast"/>
          <w:jc w:val="center"/>
        </w:trPr>
        <w:tc>
          <w:tcPr>
            <w:tcW w:w="486" w:type="pct"/>
            <w:tcBorders>
              <w:top w:val="nil"/>
              <w:left w:val="single" w:color="auto" w:sz="4" w:space="0"/>
              <w:bottom w:val="single" w:color="auto" w:sz="4" w:space="0"/>
              <w:right w:val="single" w:color="auto" w:sz="4" w:space="0"/>
            </w:tcBorders>
            <w:shd w:val="clear" w:color="000000" w:fill="FFFFFF"/>
            <w:vAlign w:val="center"/>
          </w:tcPr>
          <w:p>
            <w:pPr>
              <w:widowControl/>
              <w:jc w:val="center"/>
              <w:rPr>
                <w:rFonts w:hint="eastAsia" w:ascii="宋体" w:hAnsi="宋体" w:eastAsia="宋体" w:cs="宋体"/>
                <w:color w:val="000000"/>
                <w:kern w:val="0"/>
                <w:sz w:val="24"/>
                <w:szCs w:val="24"/>
                <w:u w:val="none"/>
              </w:rPr>
            </w:pPr>
            <w:r>
              <w:rPr>
                <w:rFonts w:hint="eastAsia" w:ascii="宋体" w:hAnsi="宋体" w:eastAsia="宋体" w:cs="宋体"/>
                <w:color w:val="000000"/>
                <w:kern w:val="0"/>
                <w:sz w:val="24"/>
                <w:szCs w:val="24"/>
                <w:u w:val="none"/>
              </w:rPr>
              <w:t>3</w:t>
            </w:r>
          </w:p>
        </w:tc>
        <w:tc>
          <w:tcPr>
            <w:tcW w:w="877" w:type="pct"/>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4"/>
                <w:szCs w:val="24"/>
                <w:u w:val="none"/>
              </w:rPr>
            </w:pPr>
            <w:r>
              <w:rPr>
                <w:rFonts w:hint="eastAsia" w:ascii="宋体" w:hAnsi="宋体" w:eastAsia="宋体" w:cs="宋体"/>
                <w:kern w:val="0"/>
                <w:sz w:val="24"/>
                <w:szCs w:val="24"/>
                <w:u w:val="none"/>
              </w:rPr>
              <w:t>安装调试费</w:t>
            </w:r>
          </w:p>
        </w:tc>
        <w:tc>
          <w:tcPr>
            <w:tcW w:w="1313" w:type="pct"/>
            <w:tcBorders>
              <w:top w:val="nil"/>
              <w:left w:val="nil"/>
              <w:bottom w:val="single" w:color="auto" w:sz="4" w:space="0"/>
              <w:right w:val="single" w:color="auto" w:sz="4" w:space="0"/>
            </w:tcBorders>
            <w:shd w:val="clear" w:color="000000" w:fill="FFFFFF"/>
            <w:vAlign w:val="center"/>
          </w:tcPr>
          <w:p>
            <w:pPr>
              <w:widowControl/>
              <w:rPr>
                <w:rFonts w:hint="eastAsia" w:ascii="宋体" w:hAnsi="宋体" w:eastAsia="宋体" w:cs="宋体"/>
                <w:kern w:val="0"/>
                <w:sz w:val="24"/>
                <w:szCs w:val="24"/>
                <w:u w:val="none"/>
              </w:rPr>
            </w:pPr>
          </w:p>
        </w:tc>
        <w:tc>
          <w:tcPr>
            <w:tcW w:w="754" w:type="pct"/>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4"/>
                <w:szCs w:val="24"/>
                <w:u w:val="none"/>
              </w:rPr>
            </w:pPr>
            <w:r>
              <w:rPr>
                <w:rFonts w:hint="eastAsia" w:ascii="宋体" w:hAnsi="宋体" w:eastAsia="宋体" w:cs="宋体"/>
                <w:kern w:val="0"/>
                <w:sz w:val="24"/>
                <w:szCs w:val="24"/>
                <w:u w:val="none"/>
              </w:rPr>
              <w:t>项</w:t>
            </w:r>
          </w:p>
        </w:tc>
        <w:tc>
          <w:tcPr>
            <w:tcW w:w="645" w:type="pct"/>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4"/>
                <w:szCs w:val="24"/>
                <w:u w:val="none"/>
              </w:rPr>
            </w:pPr>
            <w:r>
              <w:rPr>
                <w:rFonts w:hint="eastAsia" w:ascii="宋体" w:hAnsi="宋体" w:eastAsia="宋体" w:cs="宋体"/>
                <w:kern w:val="0"/>
                <w:sz w:val="24"/>
                <w:szCs w:val="24"/>
                <w:u w:val="none"/>
              </w:rPr>
              <w:t>1</w:t>
            </w:r>
          </w:p>
        </w:tc>
        <w:tc>
          <w:tcPr>
            <w:tcW w:w="923" w:type="pct"/>
            <w:tcBorders>
              <w:top w:val="nil"/>
              <w:left w:val="single" w:color="auto" w:sz="4" w:space="0"/>
              <w:bottom w:val="single" w:color="auto" w:sz="4" w:space="0"/>
              <w:right w:val="single" w:color="auto" w:sz="4" w:space="0"/>
            </w:tcBorders>
            <w:vAlign w:val="center"/>
          </w:tcPr>
          <w:p>
            <w:pPr>
              <w:widowControl/>
              <w:spacing w:line="360" w:lineRule="auto"/>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942" w:hRule="atLeast"/>
          <w:jc w:val="center"/>
        </w:trPr>
        <w:tc>
          <w:tcPr>
            <w:tcW w:w="486"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eastAsia" w:ascii="宋体" w:hAnsi="宋体" w:eastAsia="宋体" w:cs="宋体"/>
                <w:color w:val="000000"/>
                <w:kern w:val="0"/>
                <w:sz w:val="24"/>
                <w:szCs w:val="24"/>
                <w:lang w:val="en-US" w:eastAsia="zh-CN"/>
              </w:rPr>
            </w:pPr>
            <w:r>
              <w:rPr>
                <w:rFonts w:hint="eastAsia" w:ascii="宋体" w:hAnsi="宋体" w:cs="宋体"/>
                <w:color w:val="000000"/>
                <w:kern w:val="0"/>
                <w:sz w:val="24"/>
                <w:szCs w:val="24"/>
                <w:lang w:val="en-US" w:eastAsia="zh-CN"/>
              </w:rPr>
              <w:t>4</w:t>
            </w:r>
          </w:p>
        </w:tc>
        <w:tc>
          <w:tcPr>
            <w:tcW w:w="877"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4"/>
                <w:szCs w:val="24"/>
                <w:lang w:eastAsia="zh-CN"/>
              </w:rPr>
            </w:pPr>
            <w:r>
              <w:rPr>
                <w:rFonts w:hint="eastAsia" w:ascii="宋体" w:hAnsi="宋体" w:cs="宋体"/>
                <w:kern w:val="0"/>
                <w:sz w:val="24"/>
                <w:szCs w:val="24"/>
                <w:lang w:eastAsia="zh-CN"/>
              </w:rPr>
              <w:t>合计（万元）</w:t>
            </w:r>
          </w:p>
        </w:tc>
        <w:tc>
          <w:tcPr>
            <w:tcW w:w="1313" w:type="pct"/>
            <w:tcBorders>
              <w:top w:val="single" w:color="auto" w:sz="4" w:space="0"/>
              <w:left w:val="nil"/>
              <w:bottom w:val="single" w:color="auto" w:sz="4" w:space="0"/>
              <w:right w:val="single" w:color="auto" w:sz="4" w:space="0"/>
            </w:tcBorders>
            <w:shd w:val="clear" w:color="000000" w:fill="FFFFFF"/>
            <w:vAlign w:val="center"/>
          </w:tcPr>
          <w:p>
            <w:pPr>
              <w:widowControl/>
              <w:rPr>
                <w:rFonts w:hint="eastAsia" w:ascii="宋体" w:hAnsi="宋体" w:eastAsia="宋体" w:cs="宋体"/>
                <w:kern w:val="0"/>
                <w:sz w:val="24"/>
                <w:szCs w:val="24"/>
              </w:rPr>
            </w:pPr>
          </w:p>
        </w:tc>
        <w:tc>
          <w:tcPr>
            <w:tcW w:w="75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4"/>
                <w:szCs w:val="24"/>
              </w:rPr>
            </w:pPr>
          </w:p>
        </w:tc>
        <w:tc>
          <w:tcPr>
            <w:tcW w:w="64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4"/>
                <w:szCs w:val="24"/>
              </w:rPr>
            </w:pPr>
          </w:p>
        </w:tc>
        <w:tc>
          <w:tcPr>
            <w:tcW w:w="923" w:type="pct"/>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hint="eastAsia" w:ascii="宋体" w:hAnsi="宋体" w:eastAsia="宋体" w:cs="宋体"/>
                <w:kern w:val="0"/>
                <w:sz w:val="24"/>
                <w:szCs w:val="24"/>
              </w:rPr>
            </w:pPr>
          </w:p>
        </w:tc>
      </w:tr>
      <w:bookmarkEnd w:id="84"/>
      <w:bookmarkEnd w:id="85"/>
    </w:tbl>
    <w:p>
      <w:pPr>
        <w:pStyle w:val="65"/>
        <w:adjustRightInd w:val="0"/>
        <w:snapToGrid w:val="0"/>
        <w:spacing w:before="0" w:after="0" w:line="360" w:lineRule="auto"/>
        <w:ind w:left="14" w:firstLine="480" w:firstLineChars="200"/>
        <w:rPr>
          <w:rFonts w:hint="eastAsia" w:ascii="宋体" w:hAnsi="宋体" w:eastAsia="宋体" w:cs="宋体"/>
          <w:bCs w:val="0"/>
          <w:spacing w:val="0"/>
          <w:kern w:val="2"/>
          <w:szCs w:val="24"/>
        </w:rPr>
      </w:pPr>
      <w:bookmarkStart w:id="87" w:name="_GoBack"/>
      <w:bookmarkEnd w:id="87"/>
    </w:p>
    <w:sectPr>
      <w:footerReference r:id="rId3" w:type="default"/>
      <w:pgSz w:w="11906" w:h="16838"/>
      <w:pgMar w:top="1440" w:right="1274" w:bottom="1440" w:left="1560" w:header="851" w:footer="992" w:gutter="0"/>
      <w:pgNumType w:start="0"/>
      <w:cols w:space="425" w:num="1"/>
      <w:titlePg/>
      <w:docGrid w:type="lines"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ongolian Baiti">
    <w:panose1 w:val="03000500000000000000"/>
    <w:charset w:val="00"/>
    <w:family w:val="script"/>
    <w:pitch w:val="default"/>
    <w:sig w:usb0="80000023" w:usb1="00000000" w:usb2="00020000" w:usb3="00000000" w:csb0="00000001" w:csb1="00000000"/>
  </w:font>
  <w:font w:name="等线">
    <w:altName w:val="Arial Unicode MS"/>
    <w:panose1 w:val="00000000000000000000"/>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等线 Light">
    <w:altName w:val="Arial Unicode MS"/>
    <w:panose1 w:val="00000000000000000000"/>
    <w:charset w:val="86"/>
    <w:family w:val="auto"/>
    <w:pitch w:val="default"/>
    <w:sig w:usb0="00000000" w:usb1="00000000" w:usb2="00000016" w:usb3="00000000" w:csb0="0004000F" w:csb1="00000000"/>
  </w:font>
  <w:font w:name="Arial Unicode MS">
    <w:panose1 w:val="020B0604020202020204"/>
    <w:charset w:val="86"/>
    <w:family w:val="swiss"/>
    <w:pitch w:val="default"/>
    <w:sig w:usb0="FFFFFFFF" w:usb1="E9FFFFFF" w:usb2="0000003F" w:usb3="00000000" w:csb0="603F01FF" w:csb1="FFFF0000"/>
  </w:font>
  <w:font w:name="Verdana">
    <w:panose1 w:val="020B0604030504040204"/>
    <w:charset w:val="00"/>
    <w:family w:val="swiss"/>
    <w:pitch w:val="default"/>
    <w:sig w:usb0="A10006FF" w:usb1="4000205B" w:usb2="00000010" w:usb3="00000000" w:csb0="2000019F" w:csb1="00000000"/>
  </w:font>
  <w:font w:name="长城仿宋">
    <w:altName w:val="黑体"/>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Microsoft JhengHei">
    <w:panose1 w:val="020B0604030504040204"/>
    <w:charset w:val="88"/>
    <w:family w:val="swiss"/>
    <w:pitch w:val="default"/>
    <w:sig w:usb0="00000087" w:usb1="28AF4000" w:usb2="00000016" w:usb3="00000000" w:csb0="00100009" w:csb1="00000000"/>
  </w:font>
  <w:font w:name="Segoe UI Symbol">
    <w:panose1 w:val="020B0502040204020203"/>
    <w:charset w:val="00"/>
    <w:family w:val="swiss"/>
    <w:pitch w:val="default"/>
    <w:sig w:usb0="8000006F" w:usb1="1200FBEF" w:usb2="0064C000" w:usb3="00000002" w:csb0="00000001" w:csb1="40000000"/>
  </w:font>
  <w:font w:name="等线 Light">
    <w:altName w:val="ksdb"/>
    <w:panose1 w:val="00000000000000000000"/>
    <w:charset w:val="00"/>
    <w:family w:val="auto"/>
    <w:pitch w:val="default"/>
    <w:sig w:usb0="00000000" w:usb1="00000000" w:usb2="00000000" w:usb3="00000000" w:csb0="00000000" w:csb1="00000000"/>
  </w:font>
  <w:font w:name="ksdb">
    <w:panose1 w:val="02000500000000000000"/>
    <w:charset w:val="00"/>
    <w:family w:val="auto"/>
    <w:pitch w:val="default"/>
    <w:sig w:usb0="00000001"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44001582"/>
      <w:docPartObj>
        <w:docPartGallery w:val="autotext"/>
      </w:docPartObj>
    </w:sdtPr>
    <w:sdtContent>
      <w:p>
        <w:pPr>
          <w:pStyle w:val="17"/>
          <w:jc w:val="center"/>
        </w:pPr>
        <w:r>
          <w:fldChar w:fldCharType="begin"/>
        </w:r>
        <w:r>
          <w:instrText xml:space="preserve">PAGE   \* MERGEFORMAT</w:instrText>
        </w:r>
        <w:r>
          <w:fldChar w:fldCharType="separate"/>
        </w:r>
        <w:r>
          <w:rPr>
            <w:lang w:val="zh-CN"/>
          </w:rPr>
          <w:t>10</w:t>
        </w:r>
        <w:r>
          <w:fldChar w:fldCharType="end"/>
        </w:r>
      </w:p>
    </w:sdtContent>
  </w:sdt>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8E0BFAE"/>
    <w:multiLevelType w:val="singleLevel"/>
    <w:tmpl w:val="38E0BFAE"/>
    <w:lvl w:ilvl="0" w:tentative="0">
      <w:start w:val="2"/>
      <w:numFmt w:val="chineseCounting"/>
      <w:suff w:val="nothing"/>
      <w:lvlText w:val="%1、"/>
      <w:lvlJc w:val="left"/>
      <w:rPr>
        <w:rFonts w:hint="eastAsia"/>
      </w:rPr>
    </w:lvl>
  </w:abstractNum>
  <w:abstractNum w:abstractNumId="1">
    <w:nsid w:val="60FEFF90"/>
    <w:multiLevelType w:val="multilevel"/>
    <w:tmpl w:val="60FEFF90"/>
    <w:lvl w:ilvl="0" w:tentative="0">
      <w:start w:val="1"/>
      <w:numFmt w:val="decimal"/>
      <w:pStyle w:val="50"/>
      <w:lvlText w:val="%1)"/>
      <w:lvlJc w:val="left"/>
      <w:pPr>
        <w:ind w:left="420" w:firstLine="0"/>
      </w:pPr>
      <w:rPr>
        <w:sz w:val="24"/>
      </w:rPr>
    </w:lvl>
    <w:lvl w:ilvl="1" w:tentative="0">
      <w:start w:val="1"/>
      <w:numFmt w:val="lowerLetter"/>
      <w:lvlText w:val="%2)"/>
      <w:lvlJc w:val="left"/>
      <w:pPr>
        <w:ind w:left="420" w:hanging="420"/>
      </w:pPr>
    </w:lvl>
    <w:lvl w:ilvl="2" w:tentative="0">
      <w:start w:val="1"/>
      <w:numFmt w:val="lowerRoman"/>
      <w:lvlText w:val="%3."/>
      <w:lvlJc w:val="right"/>
      <w:pPr>
        <w:ind w:left="840" w:hanging="420"/>
      </w:pPr>
    </w:lvl>
    <w:lvl w:ilvl="3" w:tentative="0">
      <w:start w:val="1"/>
      <w:numFmt w:val="decimal"/>
      <w:lvlText w:val="%4."/>
      <w:lvlJc w:val="left"/>
      <w:pPr>
        <w:ind w:left="1260" w:hanging="420"/>
      </w:pPr>
    </w:lvl>
    <w:lvl w:ilvl="4" w:tentative="0">
      <w:start w:val="1"/>
      <w:numFmt w:val="lowerLetter"/>
      <w:lvlText w:val="%5)"/>
      <w:lvlJc w:val="left"/>
      <w:pPr>
        <w:ind w:left="1680" w:hanging="420"/>
      </w:pPr>
    </w:lvl>
    <w:lvl w:ilvl="5" w:tentative="0">
      <w:start w:val="1"/>
      <w:numFmt w:val="lowerRoman"/>
      <w:lvlText w:val="%6."/>
      <w:lvlJc w:val="right"/>
      <w:pPr>
        <w:ind w:left="2100" w:hanging="420"/>
      </w:pPr>
    </w:lvl>
    <w:lvl w:ilvl="6" w:tentative="0">
      <w:start w:val="1"/>
      <w:numFmt w:val="decimal"/>
      <w:lvlText w:val="%7."/>
      <w:lvlJc w:val="left"/>
      <w:pPr>
        <w:ind w:left="2520" w:hanging="420"/>
      </w:pPr>
    </w:lvl>
    <w:lvl w:ilvl="7" w:tentative="0">
      <w:start w:val="1"/>
      <w:numFmt w:val="lowerLetter"/>
      <w:lvlText w:val="%8)"/>
      <w:lvlJc w:val="left"/>
      <w:pPr>
        <w:ind w:left="2940" w:hanging="420"/>
      </w:pPr>
    </w:lvl>
    <w:lvl w:ilvl="8" w:tentative="0">
      <w:start w:val="1"/>
      <w:numFmt w:val="lowerRoman"/>
      <w:lvlText w:val="%9."/>
      <w:lvlJc w:val="right"/>
      <w:pPr>
        <w:ind w:left="336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40"/>
  <w:drawingGridVerticalSpacing w:val="381"/>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gyM2ExMzEyYTFlNTljNjJlZTg0MDQxNWE4NzAwODQifQ=="/>
  </w:docVars>
  <w:rsids>
    <w:rsidRoot w:val="001A7519"/>
    <w:rsid w:val="00024686"/>
    <w:rsid w:val="00024C49"/>
    <w:rsid w:val="000341B4"/>
    <w:rsid w:val="00046264"/>
    <w:rsid w:val="000504BB"/>
    <w:rsid w:val="00094EEA"/>
    <w:rsid w:val="000B18CB"/>
    <w:rsid w:val="000C7823"/>
    <w:rsid w:val="000D4A18"/>
    <w:rsid w:val="0011356C"/>
    <w:rsid w:val="00125ED6"/>
    <w:rsid w:val="00131B06"/>
    <w:rsid w:val="00162A1F"/>
    <w:rsid w:val="00164C27"/>
    <w:rsid w:val="00194F37"/>
    <w:rsid w:val="001A7519"/>
    <w:rsid w:val="001D2005"/>
    <w:rsid w:val="001D364C"/>
    <w:rsid w:val="001E3226"/>
    <w:rsid w:val="001F1F71"/>
    <w:rsid w:val="001F6C78"/>
    <w:rsid w:val="001F72F3"/>
    <w:rsid w:val="00204E13"/>
    <w:rsid w:val="00205D24"/>
    <w:rsid w:val="002527E0"/>
    <w:rsid w:val="002618CF"/>
    <w:rsid w:val="00282B59"/>
    <w:rsid w:val="002B0EC6"/>
    <w:rsid w:val="002B4174"/>
    <w:rsid w:val="002C5B45"/>
    <w:rsid w:val="002D61C0"/>
    <w:rsid w:val="002E134A"/>
    <w:rsid w:val="002F7A70"/>
    <w:rsid w:val="00324DE0"/>
    <w:rsid w:val="00372FF9"/>
    <w:rsid w:val="00386DBC"/>
    <w:rsid w:val="00390D4B"/>
    <w:rsid w:val="003D0279"/>
    <w:rsid w:val="003D1ACE"/>
    <w:rsid w:val="00414A0C"/>
    <w:rsid w:val="00472512"/>
    <w:rsid w:val="004B129F"/>
    <w:rsid w:val="004C6E1E"/>
    <w:rsid w:val="004D3A35"/>
    <w:rsid w:val="004D5F12"/>
    <w:rsid w:val="00522377"/>
    <w:rsid w:val="00525B44"/>
    <w:rsid w:val="0054386C"/>
    <w:rsid w:val="00582067"/>
    <w:rsid w:val="005939F0"/>
    <w:rsid w:val="005C66A2"/>
    <w:rsid w:val="00603289"/>
    <w:rsid w:val="006256CA"/>
    <w:rsid w:val="0062615E"/>
    <w:rsid w:val="006507C4"/>
    <w:rsid w:val="00652603"/>
    <w:rsid w:val="006532A0"/>
    <w:rsid w:val="00667EF0"/>
    <w:rsid w:val="00684706"/>
    <w:rsid w:val="006F421D"/>
    <w:rsid w:val="006F452C"/>
    <w:rsid w:val="00701446"/>
    <w:rsid w:val="00706B35"/>
    <w:rsid w:val="00706B5D"/>
    <w:rsid w:val="0071031E"/>
    <w:rsid w:val="00713685"/>
    <w:rsid w:val="00737B7A"/>
    <w:rsid w:val="00754BB3"/>
    <w:rsid w:val="00776F5D"/>
    <w:rsid w:val="007775E8"/>
    <w:rsid w:val="00795282"/>
    <w:rsid w:val="007A056C"/>
    <w:rsid w:val="007A58D4"/>
    <w:rsid w:val="007C32A0"/>
    <w:rsid w:val="007C412F"/>
    <w:rsid w:val="0081581D"/>
    <w:rsid w:val="00834C27"/>
    <w:rsid w:val="00837A12"/>
    <w:rsid w:val="0084521D"/>
    <w:rsid w:val="00857E33"/>
    <w:rsid w:val="00860E8B"/>
    <w:rsid w:val="00862874"/>
    <w:rsid w:val="008704B4"/>
    <w:rsid w:val="00882619"/>
    <w:rsid w:val="00893EEE"/>
    <w:rsid w:val="008B5F76"/>
    <w:rsid w:val="008F73A0"/>
    <w:rsid w:val="008F752F"/>
    <w:rsid w:val="009021C4"/>
    <w:rsid w:val="00913983"/>
    <w:rsid w:val="009170D8"/>
    <w:rsid w:val="00944B4D"/>
    <w:rsid w:val="009612D3"/>
    <w:rsid w:val="00966ACF"/>
    <w:rsid w:val="00987182"/>
    <w:rsid w:val="009876A5"/>
    <w:rsid w:val="00990A5A"/>
    <w:rsid w:val="009B7486"/>
    <w:rsid w:val="009C57B0"/>
    <w:rsid w:val="009C7FC5"/>
    <w:rsid w:val="009E1088"/>
    <w:rsid w:val="009F6206"/>
    <w:rsid w:val="009F6CD9"/>
    <w:rsid w:val="00A4051E"/>
    <w:rsid w:val="00A57D4C"/>
    <w:rsid w:val="00B179DE"/>
    <w:rsid w:val="00B817D0"/>
    <w:rsid w:val="00B940BE"/>
    <w:rsid w:val="00BA134A"/>
    <w:rsid w:val="00BA5EA1"/>
    <w:rsid w:val="00BA62FB"/>
    <w:rsid w:val="00BC3E03"/>
    <w:rsid w:val="00BD4A8B"/>
    <w:rsid w:val="00C27BD1"/>
    <w:rsid w:val="00C40778"/>
    <w:rsid w:val="00C4464E"/>
    <w:rsid w:val="00C544CE"/>
    <w:rsid w:val="00C56987"/>
    <w:rsid w:val="00C84F6D"/>
    <w:rsid w:val="00C9049F"/>
    <w:rsid w:val="00CB495B"/>
    <w:rsid w:val="00CD5B39"/>
    <w:rsid w:val="00CD7B02"/>
    <w:rsid w:val="00CF404A"/>
    <w:rsid w:val="00D01A60"/>
    <w:rsid w:val="00D31F4D"/>
    <w:rsid w:val="00D76165"/>
    <w:rsid w:val="00D91F02"/>
    <w:rsid w:val="00D94401"/>
    <w:rsid w:val="00DA0939"/>
    <w:rsid w:val="00DA0DC1"/>
    <w:rsid w:val="00DF2853"/>
    <w:rsid w:val="00DF35B6"/>
    <w:rsid w:val="00DF4FC2"/>
    <w:rsid w:val="00E0727E"/>
    <w:rsid w:val="00E24D9F"/>
    <w:rsid w:val="00E3073A"/>
    <w:rsid w:val="00E77A47"/>
    <w:rsid w:val="00E82540"/>
    <w:rsid w:val="00EA32CA"/>
    <w:rsid w:val="00EA58C0"/>
    <w:rsid w:val="00EB4D92"/>
    <w:rsid w:val="00EB50E6"/>
    <w:rsid w:val="00EC1F40"/>
    <w:rsid w:val="00F31151"/>
    <w:rsid w:val="00F47C1F"/>
    <w:rsid w:val="00FA5066"/>
    <w:rsid w:val="30B65C3F"/>
    <w:rsid w:val="5C367872"/>
    <w:rsid w:val="69E41897"/>
  </w:rsids>
  <m:mathPr>
    <m:mathFont m:val="Cambria Math"/>
    <m:brkBin m:val="before"/>
    <m:brkBinSub m:val="--"/>
    <m:smallFrac m:val="0"/>
    <m:dispDef/>
    <m:lMargin m:val="0"/>
    <m:rMargin m:val="0"/>
    <m:defJc m:val="centerGroup"/>
    <m:wrapIndent m:val="1440"/>
    <m:intLim m:val="subSup"/>
    <m:naryLim m:val="undOvr"/>
  </m:mathPr>
  <w:themeFontLang w:val="en-US" w:eastAsia="zh-CN" w:bidi="mn-Mong-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39" w:semiHidden="0" w:name="toc 2"/>
    <w:lsdException w:uiPriority="39" w:semiHidden="0" w:name="toc 3"/>
    <w:lsdException w:qFormat="1" w:uiPriority="39" w:semiHidden="0" w:name="toc 4"/>
    <w:lsdException w:uiPriority="39" w:semiHidden="0" w:name="toc 5"/>
    <w:lsdException w:uiPriority="39" w:semiHidden="0" w:name="toc 6"/>
    <w:lsdException w:uiPriority="39" w:semiHidden="0" w:name="toc 7"/>
    <w:lsdException w:uiPriority="39" w:semiHidden="0" w:name="toc 8"/>
    <w:lsdException w:uiPriority="39" w:semiHidden="0" w:name="toc 9"/>
    <w:lsdException w:qFormat="1" w:unhideWhenUsed="0" w:uiPriority="0" w:semiHidden="0" w:name="Normal Indent"/>
    <w:lsdException w:uiPriority="99" w:name="footnote text"/>
    <w:lsdException w:qFormat="1" w:uiPriority="0" w:semiHidden="0" w:name="annotation text"/>
    <w:lsdException w:uiPriority="99" w:semiHidden="0" w:name="header"/>
    <w:lsdException w:qFormat="1" w:uiPriority="99" w:semiHidden="0" w:name="footer"/>
    <w:lsdException w:uiPriority="99" w:name="index heading"/>
    <w:lsdException w:qFormat="1" w:uiPriority="35" w:semiHidden="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宋体" w:asciiTheme="minorHAnsi" w:hAnsiTheme="minorHAnsi" w:cstheme="minorBidi"/>
      <w:kern w:val="2"/>
      <w:sz w:val="28"/>
      <w:szCs w:val="22"/>
      <w:lang w:val="en-US" w:eastAsia="zh-CN" w:bidi="ar-SA"/>
    </w:rPr>
  </w:style>
  <w:style w:type="paragraph" w:styleId="2">
    <w:name w:val="heading 1"/>
    <w:basedOn w:val="1"/>
    <w:next w:val="1"/>
    <w:link w:val="34"/>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35"/>
    <w:unhideWhenUsed/>
    <w:qFormat/>
    <w:uiPriority w:val="9"/>
    <w:pPr>
      <w:keepNext/>
      <w:keepLines/>
      <w:widowControl/>
      <w:spacing w:before="260" w:after="260" w:line="415" w:lineRule="auto"/>
      <w:jc w:val="left"/>
      <w:outlineLvl w:val="1"/>
    </w:pPr>
    <w:rPr>
      <w:rFonts w:asciiTheme="majorHAnsi" w:hAnsiTheme="majorHAnsi" w:cstheme="majorBidi"/>
      <w:b/>
      <w:bCs/>
      <w:sz w:val="30"/>
      <w:szCs w:val="32"/>
    </w:rPr>
  </w:style>
  <w:style w:type="paragraph" w:styleId="4">
    <w:name w:val="heading 3"/>
    <w:basedOn w:val="1"/>
    <w:next w:val="1"/>
    <w:link w:val="36"/>
    <w:unhideWhenUsed/>
    <w:qFormat/>
    <w:uiPriority w:val="9"/>
    <w:pPr>
      <w:keepNext/>
      <w:keepLines/>
      <w:spacing w:before="260" w:after="260" w:line="416" w:lineRule="auto"/>
      <w:outlineLvl w:val="2"/>
    </w:pPr>
    <w:rPr>
      <w:b/>
      <w:bCs/>
      <w:sz w:val="32"/>
      <w:szCs w:val="32"/>
    </w:rPr>
  </w:style>
  <w:style w:type="paragraph" w:styleId="5">
    <w:name w:val="heading 4"/>
    <w:basedOn w:val="1"/>
    <w:next w:val="1"/>
    <w:link w:val="37"/>
    <w:unhideWhenUsed/>
    <w:qFormat/>
    <w:uiPriority w:val="9"/>
    <w:pPr>
      <w:keepNext/>
      <w:keepLines/>
      <w:spacing w:before="280" w:after="290" w:line="376" w:lineRule="auto"/>
      <w:outlineLvl w:val="3"/>
    </w:pPr>
    <w:rPr>
      <w:rFonts w:asciiTheme="majorHAnsi" w:hAnsiTheme="majorHAnsi" w:eastAsiaTheme="majorEastAsia" w:cstheme="majorBidi"/>
      <w:b/>
      <w:bCs/>
      <w:szCs w:val="28"/>
    </w:rPr>
  </w:style>
  <w:style w:type="paragraph" w:styleId="6">
    <w:name w:val="heading 5"/>
    <w:basedOn w:val="1"/>
    <w:next w:val="1"/>
    <w:link w:val="38"/>
    <w:unhideWhenUsed/>
    <w:qFormat/>
    <w:uiPriority w:val="9"/>
    <w:pPr>
      <w:keepNext/>
      <w:keepLines/>
      <w:spacing w:before="280" w:after="290" w:line="376" w:lineRule="auto"/>
      <w:outlineLvl w:val="4"/>
    </w:pPr>
    <w:rPr>
      <w:b/>
      <w:bCs/>
      <w:szCs w:val="28"/>
    </w:rPr>
  </w:style>
  <w:style w:type="paragraph" w:styleId="7">
    <w:name w:val="heading 6"/>
    <w:basedOn w:val="1"/>
    <w:next w:val="1"/>
    <w:link w:val="66"/>
    <w:unhideWhenUsed/>
    <w:qFormat/>
    <w:uiPriority w:val="9"/>
    <w:pPr>
      <w:keepNext/>
      <w:keepLines/>
      <w:spacing w:before="240" w:after="64" w:line="320" w:lineRule="auto"/>
      <w:outlineLvl w:val="5"/>
    </w:pPr>
    <w:rPr>
      <w:rFonts w:asciiTheme="majorHAnsi" w:hAnsiTheme="majorHAnsi" w:eastAsiaTheme="majorEastAsia" w:cstheme="majorBidi"/>
      <w:b/>
      <w:bCs/>
      <w:sz w:val="24"/>
      <w:szCs w:val="24"/>
    </w:rPr>
  </w:style>
  <w:style w:type="character" w:default="1" w:styleId="28">
    <w:name w:val="Default Paragraph Font"/>
    <w:semiHidden/>
    <w:unhideWhenUsed/>
    <w:uiPriority w:val="1"/>
  </w:style>
  <w:style w:type="table" w:default="1" w:styleId="26">
    <w:name w:val="Normal Table"/>
    <w:semiHidden/>
    <w:unhideWhenUsed/>
    <w:uiPriority w:val="99"/>
    <w:tblPr>
      <w:tblCellMar>
        <w:top w:w="0" w:type="dxa"/>
        <w:left w:w="108" w:type="dxa"/>
        <w:bottom w:w="0" w:type="dxa"/>
        <w:right w:w="108" w:type="dxa"/>
      </w:tblCellMar>
    </w:tblPr>
  </w:style>
  <w:style w:type="paragraph" w:styleId="8">
    <w:name w:val="toc 7"/>
    <w:basedOn w:val="1"/>
    <w:next w:val="1"/>
    <w:unhideWhenUsed/>
    <w:uiPriority w:val="39"/>
    <w:pPr>
      <w:ind w:left="1680"/>
      <w:jc w:val="left"/>
    </w:pPr>
    <w:rPr>
      <w:rFonts w:eastAsiaTheme="minorHAnsi"/>
      <w:sz w:val="18"/>
      <w:szCs w:val="18"/>
    </w:rPr>
  </w:style>
  <w:style w:type="paragraph" w:styleId="9">
    <w:name w:val="Normal Indent"/>
    <w:basedOn w:val="1"/>
    <w:link w:val="61"/>
    <w:qFormat/>
    <w:uiPriority w:val="0"/>
    <w:pPr>
      <w:ind w:firstLine="420"/>
    </w:pPr>
    <w:rPr>
      <w:sz w:val="21"/>
    </w:rPr>
  </w:style>
  <w:style w:type="paragraph" w:styleId="10">
    <w:name w:val="caption"/>
    <w:basedOn w:val="1"/>
    <w:next w:val="1"/>
    <w:link w:val="54"/>
    <w:unhideWhenUsed/>
    <w:qFormat/>
    <w:uiPriority w:val="35"/>
    <w:pPr>
      <w:widowControl/>
      <w:jc w:val="center"/>
    </w:pPr>
    <w:rPr>
      <w:rFonts w:ascii="Arial Unicode MS" w:hAnsi="Arial Unicode MS" w:cs="Times New Roman"/>
      <w:szCs w:val="21"/>
    </w:rPr>
  </w:style>
  <w:style w:type="paragraph" w:styleId="11">
    <w:name w:val="annotation text"/>
    <w:basedOn w:val="1"/>
    <w:link w:val="39"/>
    <w:unhideWhenUsed/>
    <w:qFormat/>
    <w:uiPriority w:val="0"/>
    <w:pPr>
      <w:jc w:val="left"/>
    </w:pPr>
  </w:style>
  <w:style w:type="paragraph" w:styleId="12">
    <w:name w:val="toc 5"/>
    <w:basedOn w:val="1"/>
    <w:next w:val="1"/>
    <w:unhideWhenUsed/>
    <w:uiPriority w:val="39"/>
    <w:pPr>
      <w:ind w:left="1120"/>
      <w:jc w:val="left"/>
    </w:pPr>
    <w:rPr>
      <w:rFonts w:eastAsiaTheme="minorHAnsi"/>
      <w:sz w:val="18"/>
      <w:szCs w:val="18"/>
    </w:rPr>
  </w:style>
  <w:style w:type="paragraph" w:styleId="13">
    <w:name w:val="toc 3"/>
    <w:basedOn w:val="1"/>
    <w:next w:val="1"/>
    <w:unhideWhenUsed/>
    <w:uiPriority w:val="39"/>
    <w:pPr>
      <w:ind w:left="560"/>
      <w:jc w:val="left"/>
    </w:pPr>
    <w:rPr>
      <w:rFonts w:eastAsiaTheme="minorHAnsi"/>
      <w:i/>
      <w:iCs/>
      <w:sz w:val="20"/>
      <w:szCs w:val="20"/>
    </w:rPr>
  </w:style>
  <w:style w:type="paragraph" w:styleId="14">
    <w:name w:val="Plain Text"/>
    <w:basedOn w:val="1"/>
    <w:link w:val="64"/>
    <w:qFormat/>
    <w:uiPriority w:val="0"/>
    <w:rPr>
      <w:rFonts w:ascii="宋体" w:hAnsi="Courier New" w:cs="Courier New"/>
      <w:sz w:val="21"/>
      <w:szCs w:val="21"/>
    </w:rPr>
  </w:style>
  <w:style w:type="paragraph" w:styleId="15">
    <w:name w:val="toc 8"/>
    <w:basedOn w:val="1"/>
    <w:next w:val="1"/>
    <w:unhideWhenUsed/>
    <w:uiPriority w:val="39"/>
    <w:pPr>
      <w:ind w:left="1960"/>
      <w:jc w:val="left"/>
    </w:pPr>
    <w:rPr>
      <w:rFonts w:eastAsiaTheme="minorHAnsi"/>
      <w:sz w:val="18"/>
      <w:szCs w:val="18"/>
    </w:rPr>
  </w:style>
  <w:style w:type="paragraph" w:styleId="16">
    <w:name w:val="Balloon Text"/>
    <w:basedOn w:val="1"/>
    <w:link w:val="40"/>
    <w:semiHidden/>
    <w:unhideWhenUsed/>
    <w:uiPriority w:val="99"/>
    <w:rPr>
      <w:sz w:val="18"/>
      <w:szCs w:val="18"/>
    </w:rPr>
  </w:style>
  <w:style w:type="paragraph" w:styleId="17">
    <w:name w:val="footer"/>
    <w:basedOn w:val="1"/>
    <w:link w:val="33"/>
    <w:unhideWhenUsed/>
    <w:qFormat/>
    <w:uiPriority w:val="99"/>
    <w:pPr>
      <w:tabs>
        <w:tab w:val="center" w:pos="4153"/>
        <w:tab w:val="right" w:pos="8306"/>
      </w:tabs>
      <w:snapToGrid w:val="0"/>
      <w:jc w:val="left"/>
    </w:pPr>
    <w:rPr>
      <w:sz w:val="18"/>
      <w:szCs w:val="18"/>
    </w:rPr>
  </w:style>
  <w:style w:type="paragraph" w:styleId="18">
    <w:name w:val="header"/>
    <w:basedOn w:val="1"/>
    <w:link w:val="32"/>
    <w:unhideWhenUsed/>
    <w:uiPriority w:val="99"/>
    <w:pPr>
      <w:pBdr>
        <w:bottom w:val="single" w:color="auto" w:sz="6" w:space="1"/>
      </w:pBdr>
      <w:tabs>
        <w:tab w:val="center" w:pos="4153"/>
        <w:tab w:val="right" w:pos="8306"/>
      </w:tabs>
      <w:snapToGrid w:val="0"/>
      <w:jc w:val="center"/>
    </w:pPr>
    <w:rPr>
      <w:sz w:val="18"/>
      <w:szCs w:val="18"/>
    </w:rPr>
  </w:style>
  <w:style w:type="paragraph" w:styleId="19">
    <w:name w:val="toc 1"/>
    <w:basedOn w:val="1"/>
    <w:next w:val="1"/>
    <w:unhideWhenUsed/>
    <w:qFormat/>
    <w:uiPriority w:val="39"/>
    <w:pPr>
      <w:spacing w:before="120" w:after="120"/>
      <w:jc w:val="left"/>
    </w:pPr>
    <w:rPr>
      <w:rFonts w:eastAsiaTheme="minorHAnsi"/>
      <w:b/>
      <w:bCs/>
      <w:caps/>
      <w:sz w:val="20"/>
      <w:szCs w:val="20"/>
    </w:rPr>
  </w:style>
  <w:style w:type="paragraph" w:styleId="20">
    <w:name w:val="toc 4"/>
    <w:basedOn w:val="1"/>
    <w:next w:val="1"/>
    <w:unhideWhenUsed/>
    <w:qFormat/>
    <w:uiPriority w:val="39"/>
    <w:pPr>
      <w:ind w:left="840"/>
      <w:jc w:val="left"/>
    </w:pPr>
    <w:rPr>
      <w:rFonts w:eastAsiaTheme="minorHAnsi"/>
      <w:sz w:val="18"/>
      <w:szCs w:val="18"/>
    </w:rPr>
  </w:style>
  <w:style w:type="paragraph" w:styleId="21">
    <w:name w:val="toc 6"/>
    <w:basedOn w:val="1"/>
    <w:next w:val="1"/>
    <w:unhideWhenUsed/>
    <w:uiPriority w:val="39"/>
    <w:pPr>
      <w:ind w:left="1400"/>
      <w:jc w:val="left"/>
    </w:pPr>
    <w:rPr>
      <w:rFonts w:eastAsiaTheme="minorHAnsi"/>
      <w:sz w:val="18"/>
      <w:szCs w:val="18"/>
    </w:rPr>
  </w:style>
  <w:style w:type="paragraph" w:styleId="22">
    <w:name w:val="toc 2"/>
    <w:basedOn w:val="1"/>
    <w:next w:val="1"/>
    <w:unhideWhenUsed/>
    <w:uiPriority w:val="39"/>
    <w:pPr>
      <w:ind w:left="280"/>
      <w:jc w:val="left"/>
    </w:pPr>
    <w:rPr>
      <w:rFonts w:eastAsiaTheme="minorHAnsi"/>
      <w:smallCaps/>
      <w:sz w:val="20"/>
      <w:szCs w:val="20"/>
    </w:rPr>
  </w:style>
  <w:style w:type="paragraph" w:styleId="23">
    <w:name w:val="toc 9"/>
    <w:basedOn w:val="1"/>
    <w:next w:val="1"/>
    <w:unhideWhenUsed/>
    <w:uiPriority w:val="39"/>
    <w:pPr>
      <w:ind w:left="2240"/>
      <w:jc w:val="left"/>
    </w:pPr>
    <w:rPr>
      <w:rFonts w:eastAsiaTheme="minorHAnsi"/>
      <w:sz w:val="18"/>
      <w:szCs w:val="18"/>
    </w:rPr>
  </w:style>
  <w:style w:type="paragraph" w:styleId="24">
    <w:name w:val="Normal (Web)"/>
    <w:basedOn w:val="1"/>
    <w:semiHidden/>
    <w:unhideWhenUsed/>
    <w:uiPriority w:val="99"/>
    <w:pPr>
      <w:widowControl/>
      <w:spacing w:before="100" w:beforeAutospacing="1" w:after="100" w:afterAutospacing="1"/>
      <w:jc w:val="left"/>
    </w:pPr>
    <w:rPr>
      <w:rFonts w:ascii="宋体" w:hAnsi="宋体" w:cs="宋体"/>
      <w:kern w:val="0"/>
      <w:sz w:val="24"/>
      <w:szCs w:val="24"/>
    </w:rPr>
  </w:style>
  <w:style w:type="paragraph" w:styleId="25">
    <w:name w:val="annotation subject"/>
    <w:basedOn w:val="11"/>
    <w:next w:val="11"/>
    <w:link w:val="41"/>
    <w:semiHidden/>
    <w:unhideWhenUsed/>
    <w:uiPriority w:val="99"/>
    <w:rPr>
      <w:b/>
      <w:bCs/>
    </w:rPr>
  </w:style>
  <w:style w:type="table" w:styleId="27">
    <w:name w:val="Table Grid"/>
    <w:basedOn w:val="26"/>
    <w:qFormat/>
    <w:uiPriority w:val="0"/>
    <w:pPr>
      <w:widowControl w:val="0"/>
      <w:spacing w:beforeLines="50" w:afterLines="50"/>
      <w:jc w:val="both"/>
    </w:pPr>
    <w:rPr>
      <w:rFonts w:ascii="Arial" w:hAnsi="Arial" w:eastAsia="宋体" w:cs="宋体"/>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character" w:styleId="29">
    <w:name w:val="Strong"/>
    <w:basedOn w:val="28"/>
    <w:qFormat/>
    <w:uiPriority w:val="0"/>
    <w:rPr>
      <w:rFonts w:hint="default" w:ascii="Verdana" w:hAnsi="Verdana" w:eastAsia="宋体" w:cs="Verdana"/>
      <w:b/>
      <w:sz w:val="28"/>
      <w:szCs w:val="28"/>
      <w:lang w:val="en-US" w:eastAsia="en-US" w:bidi="ar"/>
    </w:rPr>
  </w:style>
  <w:style w:type="character" w:styleId="30">
    <w:name w:val="Hyperlink"/>
    <w:basedOn w:val="28"/>
    <w:unhideWhenUsed/>
    <w:qFormat/>
    <w:uiPriority w:val="99"/>
    <w:rPr>
      <w:color w:val="0000FF"/>
      <w:u w:val="single"/>
    </w:rPr>
  </w:style>
  <w:style w:type="character" w:styleId="31">
    <w:name w:val="annotation reference"/>
    <w:basedOn w:val="28"/>
    <w:semiHidden/>
    <w:unhideWhenUsed/>
    <w:uiPriority w:val="99"/>
    <w:rPr>
      <w:sz w:val="21"/>
      <w:szCs w:val="21"/>
    </w:rPr>
  </w:style>
  <w:style w:type="character" w:customStyle="1" w:styleId="32">
    <w:name w:val="页眉 Char"/>
    <w:basedOn w:val="28"/>
    <w:link w:val="18"/>
    <w:uiPriority w:val="99"/>
    <w:rPr>
      <w:sz w:val="18"/>
      <w:szCs w:val="18"/>
    </w:rPr>
  </w:style>
  <w:style w:type="character" w:customStyle="1" w:styleId="33">
    <w:name w:val="页脚 Char"/>
    <w:basedOn w:val="28"/>
    <w:link w:val="17"/>
    <w:uiPriority w:val="99"/>
    <w:rPr>
      <w:sz w:val="18"/>
      <w:szCs w:val="18"/>
    </w:rPr>
  </w:style>
  <w:style w:type="character" w:customStyle="1" w:styleId="34">
    <w:name w:val="标题 1 Char"/>
    <w:basedOn w:val="28"/>
    <w:link w:val="2"/>
    <w:uiPriority w:val="9"/>
    <w:rPr>
      <w:rFonts w:eastAsia="宋体"/>
      <w:b/>
      <w:bCs/>
      <w:kern w:val="44"/>
      <w:sz w:val="44"/>
      <w:szCs w:val="44"/>
    </w:rPr>
  </w:style>
  <w:style w:type="character" w:customStyle="1" w:styleId="35">
    <w:name w:val="标题 2 Char"/>
    <w:basedOn w:val="28"/>
    <w:link w:val="3"/>
    <w:qFormat/>
    <w:uiPriority w:val="9"/>
    <w:rPr>
      <w:rFonts w:eastAsia="宋体" w:asciiTheme="majorHAnsi" w:hAnsiTheme="majorHAnsi" w:cstheme="majorBidi"/>
      <w:b/>
      <w:bCs/>
      <w:sz w:val="30"/>
      <w:szCs w:val="32"/>
    </w:rPr>
  </w:style>
  <w:style w:type="character" w:customStyle="1" w:styleId="36">
    <w:name w:val="标题 3 Char"/>
    <w:basedOn w:val="28"/>
    <w:link w:val="4"/>
    <w:uiPriority w:val="9"/>
    <w:rPr>
      <w:rFonts w:eastAsia="宋体"/>
      <w:b/>
      <w:bCs/>
      <w:sz w:val="32"/>
      <w:szCs w:val="32"/>
    </w:rPr>
  </w:style>
  <w:style w:type="character" w:customStyle="1" w:styleId="37">
    <w:name w:val="标题 4 Char"/>
    <w:basedOn w:val="28"/>
    <w:link w:val="5"/>
    <w:uiPriority w:val="9"/>
    <w:rPr>
      <w:rFonts w:asciiTheme="majorHAnsi" w:hAnsiTheme="majorHAnsi" w:eastAsiaTheme="majorEastAsia" w:cstheme="majorBidi"/>
      <w:b/>
      <w:bCs/>
      <w:sz w:val="28"/>
      <w:szCs w:val="28"/>
    </w:rPr>
  </w:style>
  <w:style w:type="character" w:customStyle="1" w:styleId="38">
    <w:name w:val="标题 5 Char"/>
    <w:basedOn w:val="28"/>
    <w:link w:val="6"/>
    <w:uiPriority w:val="9"/>
    <w:rPr>
      <w:rFonts w:eastAsia="宋体"/>
      <w:b/>
      <w:bCs/>
      <w:sz w:val="28"/>
      <w:szCs w:val="28"/>
    </w:rPr>
  </w:style>
  <w:style w:type="character" w:customStyle="1" w:styleId="39">
    <w:name w:val="批注文字 Char"/>
    <w:basedOn w:val="28"/>
    <w:link w:val="11"/>
    <w:qFormat/>
    <w:uiPriority w:val="99"/>
    <w:rPr>
      <w:rFonts w:eastAsia="宋体"/>
      <w:sz w:val="28"/>
    </w:rPr>
  </w:style>
  <w:style w:type="character" w:customStyle="1" w:styleId="40">
    <w:name w:val="批注框文本 Char"/>
    <w:basedOn w:val="28"/>
    <w:link w:val="16"/>
    <w:semiHidden/>
    <w:uiPriority w:val="99"/>
    <w:rPr>
      <w:rFonts w:eastAsia="宋体"/>
      <w:sz w:val="18"/>
      <w:szCs w:val="18"/>
    </w:rPr>
  </w:style>
  <w:style w:type="character" w:customStyle="1" w:styleId="41">
    <w:name w:val="批注主题 Char"/>
    <w:basedOn w:val="39"/>
    <w:link w:val="25"/>
    <w:semiHidden/>
    <w:uiPriority w:val="99"/>
    <w:rPr>
      <w:rFonts w:eastAsia="宋体"/>
      <w:b/>
      <w:bCs/>
      <w:sz w:val="28"/>
    </w:rPr>
  </w:style>
  <w:style w:type="paragraph" w:styleId="42">
    <w:name w:val="List Paragraph"/>
    <w:basedOn w:val="1"/>
    <w:link w:val="58"/>
    <w:qFormat/>
    <w:uiPriority w:val="34"/>
    <w:pPr>
      <w:ind w:firstLine="420" w:firstLineChars="200"/>
    </w:pPr>
  </w:style>
  <w:style w:type="paragraph" w:customStyle="1" w:styleId="43">
    <w:name w:val="封面标题"/>
    <w:basedOn w:val="1"/>
    <w:link w:val="44"/>
    <w:qFormat/>
    <w:uiPriority w:val="0"/>
    <w:pPr>
      <w:widowControl/>
      <w:spacing w:line="480" w:lineRule="auto"/>
      <w:ind w:firstLine="480" w:firstLineChars="200"/>
      <w:jc w:val="center"/>
    </w:pPr>
    <w:rPr>
      <w:rFonts w:ascii="宋体" w:hAnsi="宋体" w:cs="Times New Roman"/>
      <w:b/>
      <w:sz w:val="48"/>
      <w:szCs w:val="36"/>
    </w:rPr>
  </w:style>
  <w:style w:type="character" w:customStyle="1" w:styleId="44">
    <w:name w:val="封面标题 字符"/>
    <w:basedOn w:val="28"/>
    <w:link w:val="43"/>
    <w:qFormat/>
    <w:uiPriority w:val="0"/>
    <w:rPr>
      <w:rFonts w:ascii="宋体" w:hAnsi="宋体" w:eastAsia="宋体" w:cs="Times New Roman"/>
      <w:b/>
      <w:sz w:val="48"/>
      <w:szCs w:val="36"/>
    </w:rPr>
  </w:style>
  <w:style w:type="paragraph" w:customStyle="1" w:styleId="45">
    <w:name w:val="封面日期"/>
    <w:basedOn w:val="43"/>
    <w:link w:val="46"/>
    <w:qFormat/>
    <w:uiPriority w:val="0"/>
    <w:rPr>
      <w:sz w:val="28"/>
      <w:szCs w:val="28"/>
    </w:rPr>
  </w:style>
  <w:style w:type="character" w:customStyle="1" w:styleId="46">
    <w:name w:val="封面日期 字符"/>
    <w:basedOn w:val="44"/>
    <w:link w:val="45"/>
    <w:qFormat/>
    <w:uiPriority w:val="0"/>
    <w:rPr>
      <w:rFonts w:ascii="宋体" w:hAnsi="宋体" w:eastAsia="宋体" w:cs="Times New Roman"/>
      <w:sz w:val="28"/>
      <w:szCs w:val="28"/>
    </w:rPr>
  </w:style>
  <w:style w:type="paragraph" w:customStyle="1" w:styleId="47">
    <w:name w:val="TOC 标题1"/>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E75B6" w:themeColor="accent1" w:themeShade="BF"/>
      <w:kern w:val="0"/>
      <w:sz w:val="32"/>
      <w:szCs w:val="32"/>
    </w:rPr>
  </w:style>
  <w:style w:type="paragraph" w:customStyle="1" w:styleId="48">
    <w:name w:val="修订1"/>
    <w:hidden/>
    <w:semiHidden/>
    <w:uiPriority w:val="99"/>
    <w:rPr>
      <w:rFonts w:asciiTheme="minorHAnsi" w:hAnsiTheme="minorHAnsi" w:eastAsiaTheme="minorEastAsia" w:cstheme="minorBidi"/>
      <w:kern w:val="2"/>
      <w:sz w:val="21"/>
      <w:szCs w:val="22"/>
      <w:lang w:val="en-US" w:eastAsia="zh-CN" w:bidi="ar-SA"/>
    </w:rPr>
  </w:style>
  <w:style w:type="paragraph" w:customStyle="1" w:styleId="49">
    <w:name w:val="Revision"/>
    <w:hidden/>
    <w:semiHidden/>
    <w:uiPriority w:val="99"/>
    <w:rPr>
      <w:rFonts w:asciiTheme="minorHAnsi" w:hAnsiTheme="minorHAnsi" w:eastAsiaTheme="minorEastAsia" w:cstheme="minorBidi"/>
      <w:kern w:val="2"/>
      <w:sz w:val="21"/>
      <w:szCs w:val="22"/>
      <w:lang w:val="en-US" w:eastAsia="zh-CN" w:bidi="ar-SA"/>
    </w:rPr>
  </w:style>
  <w:style w:type="paragraph" w:customStyle="1" w:styleId="50">
    <w:name w:val="编号，小四"/>
    <w:basedOn w:val="1"/>
    <w:link w:val="51"/>
    <w:uiPriority w:val="0"/>
    <w:pPr>
      <w:numPr>
        <w:ilvl w:val="0"/>
        <w:numId w:val="1"/>
      </w:numPr>
      <w:spacing w:line="360" w:lineRule="auto"/>
    </w:pPr>
    <w:rPr>
      <w:rFonts w:ascii="Arial" w:hAnsi="Arial" w:cs="Times New Roman"/>
      <w:sz w:val="24"/>
      <w:szCs w:val="20"/>
    </w:rPr>
  </w:style>
  <w:style w:type="character" w:customStyle="1" w:styleId="51">
    <w:name w:val="编号，小四 Char"/>
    <w:basedOn w:val="28"/>
    <w:link w:val="50"/>
    <w:uiPriority w:val="0"/>
    <w:rPr>
      <w:rFonts w:ascii="Arial" w:hAnsi="Arial" w:eastAsia="宋体" w:cs="Times New Roman"/>
      <w:sz w:val="24"/>
      <w:szCs w:val="20"/>
    </w:rPr>
  </w:style>
  <w:style w:type="paragraph" w:customStyle="1" w:styleId="52">
    <w:name w:val="样式 首行缩进:  0 字符"/>
    <w:basedOn w:val="1"/>
    <w:link w:val="53"/>
    <w:qFormat/>
    <w:uiPriority w:val="0"/>
    <w:pPr>
      <w:spacing w:line="360" w:lineRule="auto"/>
      <w:ind w:firstLine="200" w:firstLineChars="200"/>
    </w:pPr>
    <w:rPr>
      <w:rFonts w:ascii="Arial" w:hAnsi="Arial" w:cs="Times New Roman"/>
      <w:sz w:val="24"/>
      <w:szCs w:val="20"/>
    </w:rPr>
  </w:style>
  <w:style w:type="character" w:customStyle="1" w:styleId="53">
    <w:name w:val="样式 首行缩进:  0 字符 Char"/>
    <w:basedOn w:val="28"/>
    <w:link w:val="52"/>
    <w:qFormat/>
    <w:uiPriority w:val="0"/>
    <w:rPr>
      <w:rFonts w:ascii="Arial" w:hAnsi="Arial" w:eastAsia="宋体" w:cs="Times New Roman"/>
      <w:sz w:val="24"/>
      <w:szCs w:val="20"/>
    </w:rPr>
  </w:style>
  <w:style w:type="character" w:customStyle="1" w:styleId="54">
    <w:name w:val="题注 Char1"/>
    <w:link w:val="10"/>
    <w:locked/>
    <w:uiPriority w:val="35"/>
    <w:rPr>
      <w:rFonts w:ascii="Arial Unicode MS" w:hAnsi="Arial Unicode MS" w:eastAsia="宋体" w:cs="Times New Roman"/>
      <w:sz w:val="28"/>
      <w:szCs w:val="21"/>
    </w:rPr>
  </w:style>
  <w:style w:type="paragraph" w:customStyle="1" w:styleId="55">
    <w:name w:val="GP正文(首行缩进)"/>
    <w:basedOn w:val="1"/>
    <w:qFormat/>
    <w:uiPriority w:val="0"/>
    <w:pPr>
      <w:spacing w:line="360" w:lineRule="auto"/>
      <w:ind w:firstLine="200" w:firstLineChars="200"/>
      <w:jc w:val="left"/>
    </w:pPr>
    <w:rPr>
      <w:rFonts w:ascii="Times New Roman" w:hAnsi="Times New Roman" w:cs="Times New Roman"/>
      <w:szCs w:val="21"/>
    </w:rPr>
  </w:style>
  <w:style w:type="character" w:customStyle="1" w:styleId="56">
    <w:name w:val="题注 字符1"/>
    <w:basedOn w:val="28"/>
    <w:uiPriority w:val="0"/>
    <w:rPr>
      <w:rFonts w:hint="default" w:ascii="Arial Unicode MS" w:hAnsi="Arial Unicode MS" w:eastAsia="Arial Unicode MS" w:cs="Arial Unicode MS"/>
      <w:kern w:val="2"/>
      <w:sz w:val="21"/>
    </w:rPr>
  </w:style>
  <w:style w:type="table" w:customStyle="1" w:styleId="57">
    <w:name w:val="网格型1"/>
    <w:basedOn w:val="26"/>
    <w:qFormat/>
    <w:uiPriority w:val="0"/>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58">
    <w:name w:val="列出段落 Char"/>
    <w:link w:val="42"/>
    <w:qFormat/>
    <w:uiPriority w:val="34"/>
    <w:rPr>
      <w:rFonts w:eastAsia="宋体"/>
      <w:sz w:val="28"/>
    </w:rPr>
  </w:style>
  <w:style w:type="paragraph" w:customStyle="1" w:styleId="59">
    <w:name w:val="TOC Heading"/>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E75B6" w:themeColor="accent1" w:themeShade="BF"/>
      <w:kern w:val="0"/>
      <w:sz w:val="32"/>
      <w:szCs w:val="32"/>
    </w:rPr>
  </w:style>
  <w:style w:type="paragraph" w:customStyle="1" w:styleId="60">
    <w:name w:val="正文 New New New New New New New New New New New New New New New New New New New New New New New New New New New New New New New New New New New New New New New New New New New New New New New New New New New New New New New New New New New New New New Ne"/>
    <w:qFormat/>
    <w:uiPriority w:val="0"/>
    <w:pPr>
      <w:widowControl w:val="0"/>
      <w:jc w:val="both"/>
    </w:pPr>
    <w:rPr>
      <w:rFonts w:ascii="Calibri" w:hAnsi="Calibri" w:eastAsia="宋体" w:cs="Times New Roman"/>
      <w:kern w:val="2"/>
      <w:sz w:val="21"/>
      <w:szCs w:val="24"/>
      <w:lang w:val="en-US" w:eastAsia="zh-CN" w:bidi="ar-SA"/>
    </w:rPr>
  </w:style>
  <w:style w:type="character" w:customStyle="1" w:styleId="61">
    <w:name w:val="正文缩进 Char"/>
    <w:link w:val="9"/>
    <w:qFormat/>
    <w:uiPriority w:val="0"/>
    <w:rPr>
      <w:rFonts w:eastAsia="宋体"/>
    </w:rPr>
  </w:style>
  <w:style w:type="character" w:customStyle="1" w:styleId="62">
    <w:name w:val="文档正文 Char"/>
    <w:link w:val="63"/>
    <w:qFormat/>
    <w:locked/>
    <w:uiPriority w:val="0"/>
    <w:rPr>
      <w:rFonts w:ascii="长城仿宋" w:hAnsi="宋体" w:eastAsia="宋体"/>
      <w:sz w:val="24"/>
    </w:rPr>
  </w:style>
  <w:style w:type="paragraph" w:customStyle="1" w:styleId="63">
    <w:name w:val="文档正文"/>
    <w:basedOn w:val="1"/>
    <w:link w:val="62"/>
    <w:qFormat/>
    <w:uiPriority w:val="0"/>
    <w:pPr>
      <w:adjustRightInd w:val="0"/>
      <w:spacing w:line="480" w:lineRule="atLeast"/>
      <w:ind w:firstLine="567" w:firstLineChars="200"/>
      <w:textAlignment w:val="baseline"/>
    </w:pPr>
    <w:rPr>
      <w:rFonts w:ascii="长城仿宋" w:hAnsi="宋体"/>
      <w:sz w:val="24"/>
    </w:rPr>
  </w:style>
  <w:style w:type="character" w:customStyle="1" w:styleId="64">
    <w:name w:val="纯文本 Char"/>
    <w:basedOn w:val="28"/>
    <w:link w:val="14"/>
    <w:qFormat/>
    <w:uiPriority w:val="0"/>
    <w:rPr>
      <w:rFonts w:ascii="宋体" w:hAnsi="Courier New" w:eastAsia="宋体" w:cs="Courier New"/>
      <w:szCs w:val="21"/>
    </w:rPr>
  </w:style>
  <w:style w:type="paragraph" w:customStyle="1" w:styleId="65">
    <w:name w:val="表格文字"/>
    <w:basedOn w:val="1"/>
    <w:qFormat/>
    <w:uiPriority w:val="0"/>
    <w:pPr>
      <w:spacing w:before="25" w:after="25"/>
      <w:jc w:val="left"/>
    </w:pPr>
    <w:rPr>
      <w:rFonts w:ascii="Times New Roman" w:hAnsi="Times New Roman" w:cs="Times New Roman"/>
      <w:bCs/>
      <w:spacing w:val="10"/>
      <w:kern w:val="0"/>
      <w:sz w:val="24"/>
      <w:szCs w:val="20"/>
    </w:rPr>
  </w:style>
  <w:style w:type="character" w:customStyle="1" w:styleId="66">
    <w:name w:val="标题 6 Char"/>
    <w:basedOn w:val="28"/>
    <w:link w:val="7"/>
    <w:uiPriority w:val="9"/>
    <w:rPr>
      <w:rFonts w:asciiTheme="majorHAnsi" w:hAnsiTheme="majorHAnsi" w:eastAsiaTheme="majorEastAsia" w:cstheme="majorBidi"/>
      <w:b/>
      <w:bCs/>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BD6679-7582-44AD-A9F4-2F2C08422476}">
  <ds:schemaRefs/>
</ds:datastoreItem>
</file>

<file path=docProps/app.xml><?xml version="1.0" encoding="utf-8"?>
<Properties xmlns="http://schemas.openxmlformats.org/officeDocument/2006/extended-properties" xmlns:vt="http://schemas.openxmlformats.org/officeDocument/2006/docPropsVTypes">
  <Template>Normal</Template>
  <Pages>9</Pages>
  <Words>5864</Words>
  <Characters>6124</Characters>
  <Lines>53</Lines>
  <Paragraphs>14</Paragraphs>
  <TotalTime>21</TotalTime>
  <ScaleCrop>false</ScaleCrop>
  <LinksUpToDate>false</LinksUpToDate>
  <CharactersWithSpaces>6176</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2022-09-06T09:02:00Z</dcterms:created>
  <dc:creator>康逸夫</dc:creator>
  <cp:lastModifiedBy>列</cp:lastModifiedBy>
  <cp:lastPrinted>2020-11-03T02:06:00Z</cp:lastPrinted>
  <dcterms:modified xsi:type="dcterms:W3CDTF">2023-06-15T06:26:13Z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BA16ED121CD7497085CE1468C857C769_12</vt:lpwstr>
  </property>
</Properties>
</file>