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rPr>
          <w:rFonts w:ascii="仿宋" w:hAnsi="仿宋" w:eastAsia="仿宋"/>
          <w:szCs w:val="21"/>
          <w:lang w:val="zh-CN"/>
        </w:rPr>
      </w:pPr>
      <w:r>
        <w:rPr>
          <w:rFonts w:hint="eastAsia" w:ascii="仿宋" w:hAnsi="仿宋" w:eastAsia="仿宋"/>
          <w:szCs w:val="21"/>
          <w:lang w:val="zh-CN"/>
        </w:rPr>
        <w:t>1</w:t>
      </w:r>
      <w:r>
        <w:rPr>
          <w:rFonts w:ascii="仿宋" w:hAnsi="仿宋" w:eastAsia="仿宋"/>
          <w:szCs w:val="21"/>
          <w:lang w:val="zh-CN"/>
        </w:rPr>
        <w:t>.</w:t>
      </w:r>
      <w:r>
        <w:rPr>
          <w:rFonts w:hint="eastAsia" w:ascii="仿宋" w:hAnsi="仿宋" w:eastAsia="仿宋"/>
          <w:szCs w:val="21"/>
          <w:lang w:val="zh-CN"/>
        </w:rPr>
        <w:t>项目标的</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4211"/>
        <w:gridCol w:w="4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82" w:type="pct"/>
            <w:vAlign w:val="center"/>
          </w:tcPr>
          <w:p>
            <w:pPr>
              <w:jc w:val="center"/>
              <w:rPr>
                <w:rFonts w:ascii="仿宋" w:hAnsi="仿宋" w:eastAsia="仿宋" w:cs="仿宋_GB2312"/>
                <w:b/>
                <w:szCs w:val="28"/>
              </w:rPr>
            </w:pPr>
            <w:r>
              <w:rPr>
                <w:rFonts w:hint="eastAsia" w:ascii="仿宋" w:hAnsi="仿宋" w:eastAsia="仿宋" w:cs="仿宋_GB2312"/>
                <w:b/>
                <w:szCs w:val="28"/>
              </w:rPr>
              <w:t>序号</w:t>
            </w:r>
          </w:p>
        </w:tc>
        <w:tc>
          <w:tcPr>
            <w:tcW w:w="2266" w:type="pct"/>
            <w:vAlign w:val="center"/>
          </w:tcPr>
          <w:p>
            <w:pPr>
              <w:jc w:val="center"/>
              <w:rPr>
                <w:rFonts w:ascii="仿宋" w:hAnsi="仿宋" w:eastAsia="仿宋" w:cs="仿宋_GB2312"/>
                <w:b/>
                <w:szCs w:val="28"/>
              </w:rPr>
            </w:pPr>
            <w:r>
              <w:rPr>
                <w:rFonts w:hint="eastAsia" w:ascii="仿宋" w:hAnsi="仿宋" w:eastAsia="仿宋" w:cs="仿宋_GB2312"/>
                <w:b/>
                <w:szCs w:val="28"/>
              </w:rPr>
              <w:t>标的名称</w:t>
            </w:r>
          </w:p>
        </w:tc>
        <w:tc>
          <w:tcPr>
            <w:tcW w:w="2250" w:type="pct"/>
            <w:vAlign w:val="center"/>
          </w:tcPr>
          <w:p>
            <w:pPr>
              <w:jc w:val="center"/>
              <w:rPr>
                <w:rFonts w:ascii="仿宋" w:hAnsi="仿宋" w:eastAsia="仿宋" w:cs="仿宋_GB2312"/>
                <w:b/>
                <w:szCs w:val="28"/>
              </w:rPr>
            </w:pPr>
            <w:r>
              <w:rPr>
                <w:rFonts w:hint="eastAsia" w:ascii="仿宋" w:hAnsi="仿宋" w:eastAsia="仿宋" w:cs="仿宋_GB2312"/>
                <w:b/>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5" w:hRule="atLeast"/>
          <w:jc w:val="center"/>
        </w:trPr>
        <w:tc>
          <w:tcPr>
            <w:tcW w:w="482" w:type="pct"/>
            <w:vAlign w:val="center"/>
          </w:tcPr>
          <w:p>
            <w:pPr>
              <w:jc w:val="center"/>
              <w:rPr>
                <w:rFonts w:ascii="仿宋" w:hAnsi="仿宋" w:eastAsia="仿宋" w:cs="仿宋_GB2312"/>
                <w:szCs w:val="28"/>
              </w:rPr>
            </w:pPr>
            <w:r>
              <w:rPr>
                <w:rFonts w:hint="eastAsia" w:ascii="仿宋" w:hAnsi="仿宋" w:eastAsia="仿宋" w:cs="仿宋_GB2312"/>
                <w:szCs w:val="28"/>
              </w:rPr>
              <w:t>1</w:t>
            </w:r>
          </w:p>
        </w:tc>
        <w:tc>
          <w:tcPr>
            <w:tcW w:w="2266" w:type="pct"/>
            <w:vAlign w:val="center"/>
          </w:tcPr>
          <w:p>
            <w:pPr>
              <w:jc w:val="center"/>
              <w:rPr>
                <w:rFonts w:ascii="仿宋" w:hAnsi="仿宋" w:eastAsia="仿宋" w:cs="仿宋_GB2312"/>
                <w:szCs w:val="28"/>
              </w:rPr>
            </w:pPr>
            <w:r>
              <w:rPr>
                <w:rFonts w:hint="eastAsia" w:ascii="仿宋" w:hAnsi="仿宋" w:eastAsia="仿宋" w:cs="仿宋_GB2312"/>
                <w:szCs w:val="28"/>
              </w:rPr>
              <w:t>广州市妇女儿童医疗中心增城院区安检系统建设项目</w:t>
            </w:r>
          </w:p>
        </w:tc>
        <w:tc>
          <w:tcPr>
            <w:tcW w:w="2250" w:type="pct"/>
            <w:vAlign w:val="center"/>
          </w:tcPr>
          <w:p>
            <w:pPr>
              <w:jc w:val="center"/>
              <w:rPr>
                <w:rFonts w:ascii="仿宋" w:hAnsi="仿宋" w:eastAsia="仿宋" w:cs="仿宋_GB2312"/>
                <w:szCs w:val="28"/>
              </w:rPr>
            </w:pPr>
            <w:r>
              <w:rPr>
                <w:rFonts w:ascii="仿宋" w:hAnsi="仿宋" w:eastAsia="仿宋" w:cs="仿宋_GB2312"/>
                <w:sz w:val="28"/>
                <w:szCs w:val="28"/>
              </w:rPr>
              <w:t>3</w:t>
            </w:r>
            <w:r>
              <w:rPr>
                <w:rFonts w:hint="eastAsia" w:ascii="仿宋" w:hAnsi="仿宋" w:eastAsia="仿宋" w:cs="仿宋_GB2312"/>
                <w:sz w:val="28"/>
                <w:szCs w:val="28"/>
              </w:rPr>
              <w:t>套</w:t>
            </w:r>
          </w:p>
        </w:tc>
      </w:tr>
    </w:tbl>
    <w:p>
      <w:pPr>
        <w:spacing w:line="360" w:lineRule="auto"/>
        <w:jc w:val="center"/>
        <w:rPr>
          <w:rFonts w:ascii="仿宋" w:hAnsi="仿宋" w:eastAsia="仿宋"/>
          <w:sz w:val="32"/>
          <w:szCs w:val="32"/>
        </w:rPr>
      </w:pPr>
    </w:p>
    <w:p>
      <w:pPr>
        <w:pStyle w:val="40"/>
        <w:ind w:left="420" w:firstLine="0" w:firstLineChars="0"/>
        <w:jc w:val="center"/>
        <w:outlineLvl w:val="1"/>
        <w:rPr>
          <w:rFonts w:ascii="仿宋" w:hAnsi="仿宋" w:eastAsia="仿宋"/>
          <w:b/>
          <w:sz w:val="40"/>
          <w:szCs w:val="32"/>
        </w:rPr>
      </w:pPr>
      <w:bookmarkStart w:id="0" w:name="_Toc65847374"/>
      <w:bookmarkStart w:id="1" w:name="_Toc38314074"/>
      <w:r>
        <w:rPr>
          <w:rFonts w:hint="eastAsia" w:ascii="仿宋" w:hAnsi="仿宋" w:eastAsia="仿宋"/>
          <w:b/>
          <w:sz w:val="40"/>
          <w:szCs w:val="32"/>
        </w:rPr>
        <w:t xml:space="preserve">第一章 </w:t>
      </w:r>
      <w:bookmarkEnd w:id="0"/>
      <w:bookmarkEnd w:id="1"/>
      <w:r>
        <w:rPr>
          <w:rFonts w:hint="eastAsia" w:ascii="仿宋" w:hAnsi="仿宋" w:eastAsia="仿宋"/>
          <w:b/>
          <w:sz w:val="40"/>
          <w:szCs w:val="32"/>
        </w:rPr>
        <w:t>用户需求书</w:t>
      </w:r>
    </w:p>
    <w:p>
      <w:pPr>
        <w:pStyle w:val="4"/>
        <w:numPr>
          <w:ilvl w:val="1"/>
          <w:numId w:val="2"/>
        </w:numPr>
        <w:rPr>
          <w:rFonts w:ascii="仿宋" w:hAnsi="仿宋" w:eastAsia="仿宋"/>
          <w:sz w:val="30"/>
        </w:rPr>
      </w:pPr>
      <w:bookmarkStart w:id="2" w:name="_Toc65847375"/>
      <w:r>
        <w:rPr>
          <w:rFonts w:hint="eastAsia" w:ascii="仿宋" w:hAnsi="仿宋" w:eastAsia="仿宋"/>
          <w:sz w:val="30"/>
        </w:rPr>
        <w:t>政策背景</w:t>
      </w:r>
      <w:bookmarkEnd w:id="2"/>
    </w:p>
    <w:p>
      <w:pPr>
        <w:pStyle w:val="53"/>
        <w:ind w:firstLine="560"/>
        <w:rPr>
          <w:rFonts w:ascii="仿宋" w:hAnsi="仿宋" w:eastAsia="仿宋"/>
        </w:rPr>
      </w:pPr>
      <w:bookmarkStart w:id="3" w:name="_Toc38314076"/>
      <w:r>
        <w:rPr>
          <w:rFonts w:hint="eastAsia" w:ascii="仿宋" w:hAnsi="仿宋" w:eastAsia="仿宋"/>
        </w:rPr>
        <w:t>广州市妇女儿童医疗中心增城院区，总建筑面积</w:t>
      </w:r>
      <w:r>
        <w:rPr>
          <w:rFonts w:ascii="仿宋" w:hAnsi="仿宋" w:eastAsia="仿宋"/>
        </w:rPr>
        <w:t>219970平方米，</w:t>
      </w:r>
      <w:r>
        <w:rPr>
          <w:rFonts w:hint="eastAsia" w:ascii="仿宋" w:hAnsi="仿宋" w:eastAsia="仿宋"/>
        </w:rPr>
        <w:t>建成后门诊能力</w:t>
      </w:r>
      <w:r>
        <w:rPr>
          <w:rFonts w:ascii="仿宋" w:hAnsi="仿宋" w:eastAsia="仿宋"/>
        </w:rPr>
        <w:t>5000-7000人/日、床位1000张，将是全亚洲最大的妇幼医院，</w:t>
      </w:r>
      <w:r>
        <w:rPr>
          <w:rFonts w:hint="eastAsia" w:ascii="仿宋" w:hAnsi="仿宋" w:eastAsia="仿宋"/>
        </w:rPr>
        <w:t>成为广州市妇女儿童医疗中心主要分院区之一。作为市民看病就医的集中地，每天都会有大量的人员进出，存在人员进出频繁、管理混乱情况。人员类型繁多如患者、陪同家属、可疑人员（小偷</w:t>
      </w:r>
      <w:r>
        <w:rPr>
          <w:rFonts w:ascii="仿宋" w:hAnsi="仿宋" w:eastAsia="仿宋"/>
        </w:rPr>
        <w:t>/发小广告者/医闹/医托/在逃人员/医药代表等）、内部职工、外包员工、外协人员（保安、保洁）、快递物流、外来访客（面试、拜访）、施工维修人员等。</w:t>
      </w:r>
    </w:p>
    <w:p>
      <w:pPr>
        <w:pStyle w:val="53"/>
        <w:ind w:firstLine="560"/>
        <w:rPr>
          <w:rFonts w:ascii="仿宋" w:hAnsi="仿宋" w:eastAsia="仿宋"/>
        </w:rPr>
      </w:pPr>
      <w:r>
        <w:rPr>
          <w:rFonts w:hint="eastAsia" w:ascii="仿宋" w:hAnsi="仿宋" w:eastAsia="仿宋"/>
        </w:rPr>
        <w:t>然而由于医院环境人员复杂，依然会出现暴力伤医事件，近年来,各地暴力伤医事件频繁发生,切呈逐年上升趋势，例如2020年10月31日，广州中山大学附属第三医院心理科副主任医师陶炯在门诊接诊期间，被一名突然闯入诊室的人员砍伤。</w:t>
      </w:r>
      <w:r>
        <w:rPr>
          <w:rFonts w:ascii="仿宋" w:hAnsi="仿宋" w:eastAsia="仿宋"/>
        </w:rPr>
        <w:t>3月19日，鄂尔多斯市中心医院患者王某某持刀将正为其治疗的医生汤某捅伤</w:t>
      </w:r>
      <w:r>
        <w:rPr>
          <w:rFonts w:hint="eastAsia" w:ascii="仿宋" w:hAnsi="仿宋" w:eastAsia="仿宋"/>
        </w:rPr>
        <w:t>、郑大一院伤医事件、北京伤医事件等。已经严重干扰了正常的医疗秩序，危及医护人员的生命安全。据2019年3月最高检发布数据，2018年全国检察机关仅就暴力伤医、聚众扰医案件，起诉 3202人。</w:t>
      </w:r>
    </w:p>
    <w:p>
      <w:pPr>
        <w:pStyle w:val="53"/>
        <w:ind w:firstLine="560"/>
        <w:rPr>
          <w:rFonts w:ascii="仿宋" w:hAnsi="仿宋" w:eastAsia="仿宋"/>
        </w:rPr>
      </w:pPr>
      <w:r>
        <w:rPr>
          <w:rFonts w:hint="eastAsia" w:ascii="仿宋" w:hAnsi="仿宋" w:eastAsia="仿宋"/>
        </w:rPr>
        <w:t>同时多数医院人流量大，保卫人员人力短缺，最主要原因是零安检，不设防，仅凭传统视频监控系统，无法核查违禁品进入医院，因此暴力伤医事件严重。</w:t>
      </w:r>
    </w:p>
    <w:p>
      <w:pPr>
        <w:pStyle w:val="53"/>
        <w:ind w:firstLine="560"/>
        <w:rPr>
          <w:rFonts w:ascii="仿宋" w:hAnsi="仿宋" w:eastAsia="仿宋"/>
        </w:rPr>
      </w:pPr>
      <w:r>
        <w:rPr>
          <w:rFonts w:ascii="仿宋" w:hAnsi="仿宋" w:eastAsia="仿宋"/>
        </w:rPr>
        <w:t>在</w:t>
      </w:r>
      <w:r>
        <w:rPr>
          <w:rFonts w:hint="eastAsia" w:ascii="仿宋" w:hAnsi="仿宋" w:eastAsia="仿宋"/>
        </w:rPr>
        <w:t>2019年12月28日</w:t>
      </w:r>
      <w:r>
        <w:rPr>
          <w:rFonts w:ascii="仿宋" w:hAnsi="仿宋" w:eastAsia="仿宋"/>
        </w:rPr>
        <w:t>召开的十三届全国人大常委会第十五次会议上，《基本医疗卫生与健康促进法》获得表决通过，于</w:t>
      </w:r>
      <w:r>
        <w:rPr>
          <w:rFonts w:hint="eastAsia" w:ascii="仿宋" w:hAnsi="仿宋" w:eastAsia="仿宋"/>
        </w:rPr>
        <w:t>2020年</w:t>
      </w:r>
      <w:r>
        <w:rPr>
          <w:rFonts w:ascii="仿宋" w:hAnsi="仿宋" w:eastAsia="仿宋"/>
        </w:rPr>
        <w:t>6月1日起施行，这是我国卫生健康领域内的第一部基础性、综合性的法律。针对“医闹”事件屡禁不止，该法作出明确规定：医疗卫生人员的人身安全、人格尊严不受侵犯，其合法权益受法律保护。禁止任何组织和个人威胁、危害医疗卫生人员人身安全，侵犯医疗卫生人员人格尊严</w:t>
      </w:r>
      <w:r>
        <w:rPr>
          <w:rFonts w:hint="eastAsia" w:ascii="仿宋" w:hAnsi="仿宋" w:eastAsia="仿宋"/>
        </w:rPr>
        <w:t>。</w:t>
      </w:r>
    </w:p>
    <w:p>
      <w:pPr>
        <w:pStyle w:val="53"/>
        <w:ind w:firstLine="560"/>
        <w:rPr>
          <w:rFonts w:ascii="仿宋" w:hAnsi="仿宋" w:eastAsia="仿宋"/>
        </w:rPr>
      </w:pPr>
      <w:r>
        <w:rPr>
          <w:rFonts w:ascii="仿宋" w:hAnsi="仿宋" w:eastAsia="仿宋"/>
        </w:rPr>
        <w:t>2020年6月5日北京市第十五届人民代表大会常务委员会第二十二次会议通过</w:t>
      </w:r>
      <w:r>
        <w:rPr>
          <w:rFonts w:hint="eastAsia" w:ascii="仿宋" w:hAnsi="仿宋" w:eastAsia="仿宋"/>
        </w:rPr>
        <w:t>，2</w:t>
      </w:r>
      <w:r>
        <w:rPr>
          <w:rFonts w:ascii="仿宋" w:hAnsi="仿宋" w:eastAsia="仿宋"/>
        </w:rPr>
        <w:t>020</w:t>
      </w:r>
      <w:r>
        <w:rPr>
          <w:rFonts w:hint="eastAsia" w:ascii="仿宋" w:hAnsi="仿宋" w:eastAsia="仿宋"/>
        </w:rPr>
        <w:t>年</w:t>
      </w:r>
      <w:r>
        <w:rPr>
          <w:rFonts w:ascii="仿宋" w:hAnsi="仿宋" w:eastAsia="仿宋"/>
        </w:rPr>
        <w:t>7月1日起，《北京市医院安全秩序管理规定》（以下简称《规定》）正式实施。按照《规定》第17条要求，医院应当建立安全检查制度，根据需要在医院入口或者重点区域入口进行安全检查，严防禁限物品进入医院。</w:t>
      </w:r>
    </w:p>
    <w:p>
      <w:pPr>
        <w:pStyle w:val="53"/>
        <w:ind w:firstLine="560"/>
        <w:rPr>
          <w:rFonts w:ascii="仿宋" w:hAnsi="仿宋" w:eastAsia="仿宋"/>
        </w:rPr>
      </w:pPr>
      <w:r>
        <w:rPr>
          <w:rFonts w:hint="eastAsia" w:ascii="仿宋" w:hAnsi="仿宋" w:eastAsia="仿宋"/>
        </w:rPr>
        <w:t>同时南宁市，山西省，河北省，山东省，广东省各地卫生及公安部门联合出台指导意见，明确各地三级或二级（含）医院建立安检制度，配备安检设备，保护医疗人员安全，南宁和北京市陆续建立了安检设备，保安人员及配套安检管理制度及流程规范，取得了良好进展，也获得了广大群众的支持。</w:t>
      </w:r>
    </w:p>
    <w:p>
      <w:pPr>
        <w:pStyle w:val="4"/>
        <w:numPr>
          <w:ilvl w:val="1"/>
          <w:numId w:val="2"/>
        </w:numPr>
        <w:rPr>
          <w:rFonts w:ascii="仿宋" w:hAnsi="仿宋" w:eastAsia="仿宋"/>
          <w:sz w:val="30"/>
        </w:rPr>
      </w:pPr>
      <w:bookmarkStart w:id="4" w:name="_Toc65847376"/>
      <w:bookmarkStart w:id="5" w:name="_Toc51575682"/>
      <w:bookmarkStart w:id="6" w:name="_Toc51426933"/>
      <w:r>
        <w:rPr>
          <w:rFonts w:hint="eastAsia" w:ascii="仿宋" w:hAnsi="仿宋" w:eastAsia="仿宋"/>
          <w:sz w:val="30"/>
        </w:rPr>
        <w:t>需求分析</w:t>
      </w:r>
      <w:bookmarkEnd w:id="4"/>
      <w:bookmarkEnd w:id="5"/>
      <w:bookmarkEnd w:id="6"/>
    </w:p>
    <w:p>
      <w:pPr>
        <w:pStyle w:val="5"/>
        <w:numPr>
          <w:ilvl w:val="2"/>
          <w:numId w:val="2"/>
        </w:numPr>
        <w:spacing w:line="416" w:lineRule="auto"/>
        <w:rPr>
          <w:rFonts w:ascii="仿宋" w:hAnsi="仿宋" w:eastAsia="仿宋"/>
          <w:sz w:val="30"/>
        </w:rPr>
      </w:pPr>
      <w:bookmarkStart w:id="7" w:name="_Toc65847377"/>
      <w:r>
        <w:rPr>
          <w:rFonts w:hint="eastAsia" w:ascii="仿宋" w:hAnsi="仿宋" w:eastAsia="仿宋"/>
          <w:sz w:val="30"/>
        </w:rPr>
        <w:t>场景需求</w:t>
      </w:r>
      <w:bookmarkEnd w:id="7"/>
    </w:p>
    <w:p>
      <w:pPr>
        <w:pStyle w:val="5"/>
        <w:numPr>
          <w:ilvl w:val="3"/>
          <w:numId w:val="2"/>
        </w:numPr>
        <w:spacing w:line="416" w:lineRule="auto"/>
        <w:rPr>
          <w:rFonts w:ascii="仿宋" w:hAnsi="仿宋" w:eastAsia="仿宋"/>
          <w:sz w:val="30"/>
        </w:rPr>
      </w:pPr>
      <w:bookmarkStart w:id="8" w:name="_Toc65847378"/>
      <w:r>
        <w:rPr>
          <w:rFonts w:hint="eastAsia" w:ascii="仿宋" w:hAnsi="仿宋" w:eastAsia="仿宋"/>
          <w:sz w:val="30"/>
        </w:rPr>
        <w:t>违禁品检测</w:t>
      </w:r>
      <w:bookmarkEnd w:id="8"/>
    </w:p>
    <w:p>
      <w:pPr>
        <w:pStyle w:val="50"/>
        <w:ind w:firstLine="560"/>
        <w:rPr>
          <w:rFonts w:ascii="仿宋" w:hAnsi="仿宋" w:eastAsia="仿宋"/>
          <w:sz w:val="28"/>
          <w:szCs w:val="24"/>
        </w:rPr>
      </w:pPr>
      <w:r>
        <w:rPr>
          <w:rFonts w:hint="eastAsia" w:ascii="仿宋" w:hAnsi="仿宋" w:eastAsia="仿宋"/>
          <w:sz w:val="28"/>
          <w:szCs w:val="24"/>
        </w:rPr>
        <w:t>在广州市妇女儿童医疗中心增城院区主要入口处设立安检设备，进入医院的人员应当主动接受并配合安全检查，不接受安全检查的，医院有权拒绝进入。</w:t>
      </w:r>
    </w:p>
    <w:p>
      <w:pPr>
        <w:pStyle w:val="5"/>
        <w:numPr>
          <w:ilvl w:val="3"/>
          <w:numId w:val="2"/>
        </w:numPr>
        <w:spacing w:line="416" w:lineRule="auto"/>
        <w:rPr>
          <w:rFonts w:ascii="仿宋" w:hAnsi="仿宋" w:eastAsia="仿宋"/>
          <w:sz w:val="30"/>
        </w:rPr>
      </w:pPr>
      <w:bookmarkStart w:id="9" w:name="_Toc65847379"/>
      <w:r>
        <w:rPr>
          <w:rFonts w:hint="eastAsia" w:ascii="仿宋" w:hAnsi="仿宋" w:eastAsia="仿宋"/>
          <w:sz w:val="30"/>
        </w:rPr>
        <w:t>非接触测温</w:t>
      </w:r>
      <w:bookmarkEnd w:id="9"/>
    </w:p>
    <w:p>
      <w:pPr>
        <w:pStyle w:val="50"/>
        <w:ind w:firstLine="560"/>
        <w:rPr>
          <w:rFonts w:ascii="仿宋" w:hAnsi="仿宋" w:eastAsia="仿宋"/>
          <w:sz w:val="28"/>
          <w:szCs w:val="24"/>
        </w:rPr>
      </w:pPr>
      <w:r>
        <w:rPr>
          <w:rFonts w:hint="eastAsia" w:ascii="仿宋" w:hAnsi="仿宋" w:eastAsia="仿宋"/>
          <w:sz w:val="28"/>
          <w:szCs w:val="24"/>
        </w:rPr>
        <w:t>新型冠状病毒的主要症状之一是体温异常，国家卫健委高级别专家组组长、中国工程院院士、国家呼吸系统疾病临床研究专家钟南山表示，新型肺炎存在人传人现象，需要有很严格的筛查检测措施，特别是体温检测。本项目在广州市妇女儿童医疗中心增城院区主要入口处设立测温安检门。</w:t>
      </w:r>
    </w:p>
    <w:bookmarkEnd w:id="3"/>
    <w:p>
      <w:pPr>
        <w:pStyle w:val="4"/>
        <w:numPr>
          <w:ilvl w:val="1"/>
          <w:numId w:val="2"/>
        </w:numPr>
        <w:rPr>
          <w:rFonts w:ascii="仿宋" w:hAnsi="仿宋" w:eastAsia="仿宋"/>
          <w:sz w:val="30"/>
        </w:rPr>
      </w:pPr>
      <w:bookmarkStart w:id="10" w:name="_Toc65847380"/>
      <w:bookmarkStart w:id="11" w:name="_Toc38314077"/>
      <w:r>
        <w:rPr>
          <w:rFonts w:hint="eastAsia" w:ascii="仿宋" w:hAnsi="仿宋" w:eastAsia="仿宋"/>
          <w:sz w:val="30"/>
        </w:rPr>
        <w:t>总体目标</w:t>
      </w:r>
      <w:bookmarkEnd w:id="10"/>
      <w:bookmarkEnd w:id="11"/>
    </w:p>
    <w:p>
      <w:pPr>
        <w:widowControl/>
        <w:spacing w:line="360" w:lineRule="auto"/>
        <w:ind w:firstLine="562" w:firstLineChars="200"/>
        <w:rPr>
          <w:rFonts w:ascii="仿宋" w:hAnsi="仿宋" w:eastAsia="仿宋" w:cs="Times New Roman"/>
          <w:b/>
          <w:bCs/>
          <w:szCs w:val="24"/>
        </w:rPr>
      </w:pPr>
      <w:r>
        <w:rPr>
          <w:rFonts w:hint="eastAsia" w:ascii="仿宋" w:hAnsi="仿宋" w:eastAsia="仿宋" w:cs="Times New Roman"/>
          <w:b/>
          <w:bCs/>
          <w:szCs w:val="24"/>
        </w:rPr>
        <w:t>（1）基于</w:t>
      </w:r>
      <w:r>
        <w:rPr>
          <w:rFonts w:ascii="仿宋" w:hAnsi="仿宋" w:eastAsia="仿宋" w:cs="Times New Roman"/>
          <w:b/>
          <w:bCs/>
          <w:szCs w:val="24"/>
        </w:rPr>
        <w:t>AI识别分析技术，让安检信息不再沉默</w:t>
      </w:r>
      <w:r>
        <w:rPr>
          <w:rFonts w:hint="eastAsia" w:ascii="仿宋" w:hAnsi="仿宋" w:eastAsia="仿宋" w:cs="Times New Roman"/>
          <w:b/>
          <w:bCs/>
          <w:szCs w:val="24"/>
        </w:rPr>
        <w:t xml:space="preserve"> </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基于人工智能技术，对违禁品样本进行深度学习，智能分析仪可精准识别过检包裹中是否包含违禁品，有效提升违禁品检出率。目前可识别的类型包括以下几大类：刀具、枪支（包括整枪、套筒、枪管、弹匣、握把、子弹）、瓶装液体、电池、雨伞、笔记本电脑、手机、喷灌、剪刀、打火机等</w:t>
      </w:r>
      <w:r>
        <w:rPr>
          <w:rFonts w:ascii="仿宋" w:hAnsi="仿宋" w:eastAsia="仿宋" w:cs="Times New Roman"/>
          <w:szCs w:val="24"/>
        </w:rPr>
        <w:t>10大类违禁品。</w:t>
      </w:r>
    </w:p>
    <w:p>
      <w:pPr>
        <w:widowControl/>
        <w:spacing w:line="360" w:lineRule="auto"/>
        <w:ind w:firstLine="560" w:firstLineChars="200"/>
        <w:rPr>
          <w:rFonts w:ascii="仿宋" w:hAnsi="仿宋" w:eastAsia="仿宋" w:cs="Times New Roman"/>
          <w:szCs w:val="24"/>
        </w:rPr>
      </w:pPr>
      <w:r>
        <w:drawing>
          <wp:inline distT="0" distB="0" distL="0" distR="0">
            <wp:extent cx="4671695" cy="2496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71695" cy="2496820"/>
                    </a:xfrm>
                    <a:prstGeom prst="rect">
                      <a:avLst/>
                    </a:prstGeom>
                    <a:noFill/>
                    <a:ln>
                      <a:noFill/>
                    </a:ln>
                  </pic:spPr>
                </pic:pic>
              </a:graphicData>
            </a:graphic>
          </wp:inline>
        </w:drawing>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当系统识别到有危险品通过时，会对危险品进行框选、标注，电子放大、细节展示，并通过声光报警进行报警提示，提醒安检员注意</w:t>
      </w:r>
      <w:r>
        <w:rPr>
          <w:rFonts w:ascii="仿宋" w:hAnsi="仿宋" w:eastAsia="仿宋" w:cs="Times New Roman"/>
          <w:szCs w:val="24"/>
        </w:rPr>
        <w:t>，提升安检能力。</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1、智能研判，通过AI技术及时发现包裹里面的违禁品；</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2、危险品呈现，对违禁品进行框选及提示，辅助安检人员进行判断；</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3、危险品展示，可通过电子放大，对图片细节进行展示；</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4、历史回溯，通过查询，对历史过包数据进行回看操作；</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5、运行状态展示，显示当前过包量及危险品数量信息；</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6、报警联动，若智能识别到违禁品，系统会进行告警，现场人员可立刻调动力量处置包裹。</w:t>
      </w:r>
    </w:p>
    <w:p>
      <w:pPr>
        <w:jc w:val="center"/>
        <w:rPr>
          <w:rFonts w:ascii="宋体" w:hAnsi="宋体"/>
          <w:b/>
          <w:sz w:val="32"/>
          <w:szCs w:val="32"/>
        </w:rPr>
      </w:pPr>
      <w:r>
        <w:rPr>
          <w:rFonts w:ascii="宋体" w:hAnsi="宋体"/>
          <w:b/>
          <w:sz w:val="32"/>
          <w:szCs w:val="32"/>
        </w:rPr>
        <w:drawing>
          <wp:inline distT="0" distB="0" distL="0" distR="0">
            <wp:extent cx="4501515" cy="2356485"/>
            <wp:effectExtent l="0" t="0" r="0" b="5715"/>
            <wp:docPr id="2" name="图片 2" descr="识别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识别画面"/>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01515" cy="2356485"/>
                    </a:xfrm>
                    <a:prstGeom prst="rect">
                      <a:avLst/>
                    </a:prstGeom>
                    <a:noFill/>
                    <a:ln>
                      <a:noFill/>
                    </a:ln>
                  </pic:spPr>
                </pic:pic>
              </a:graphicData>
            </a:graphic>
          </wp:inline>
        </w:drawing>
      </w:r>
    </w:p>
    <w:p>
      <w:pPr>
        <w:widowControl/>
        <w:spacing w:line="360" w:lineRule="auto"/>
        <w:ind w:firstLine="560" w:firstLineChars="200"/>
        <w:rPr>
          <w:rFonts w:ascii="仿宋" w:hAnsi="仿宋" w:eastAsia="仿宋" w:cs="Times New Roman"/>
          <w:szCs w:val="24"/>
        </w:rPr>
      </w:pPr>
    </w:p>
    <w:p>
      <w:pPr>
        <w:widowControl/>
        <w:spacing w:line="360" w:lineRule="auto"/>
        <w:ind w:firstLine="562" w:firstLineChars="200"/>
        <w:rPr>
          <w:rFonts w:ascii="仿宋" w:hAnsi="仿宋" w:eastAsia="仿宋" w:cs="Times New Roman"/>
          <w:b/>
          <w:bCs/>
          <w:szCs w:val="24"/>
        </w:rPr>
      </w:pPr>
      <w:r>
        <w:rPr>
          <w:rFonts w:hint="eastAsia" w:ascii="仿宋" w:hAnsi="仿宋" w:eastAsia="仿宋" w:cs="Times New Roman"/>
          <w:b/>
          <w:bCs/>
          <w:szCs w:val="24"/>
        </w:rPr>
        <w:t>（2）数据联网，打破安检信息“孤岛”</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通过传输网络，可将安检机的智能安检系统、前端视频监控系统、人脸感知系统、行为分析系统、报警检测等系统统一接入后台进行综合管理，打破传统安检点位的信息孤岛模式，实现数据的联网，拓展数据的价值。</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检联网</w:t>
      </w:r>
      <w:r>
        <w:rPr>
          <w:rFonts w:ascii="仿宋" w:hAnsi="仿宋" w:eastAsia="仿宋" w:cs="Times New Roman"/>
          <w:szCs w:val="24"/>
        </w:rPr>
        <w:t>平台</w:t>
      </w:r>
      <w:r>
        <w:rPr>
          <w:rFonts w:hint="eastAsia" w:ascii="仿宋" w:hAnsi="仿宋" w:eastAsia="仿宋" w:cs="Times New Roman"/>
          <w:szCs w:val="24"/>
        </w:rPr>
        <w:t>可以通过接入安检、视频监控、报警检测等系统的设备，获取边缘节点数据，实现安防信息化集成与联动。以电子地图为载体，融合各系统能力实现丰富的智能应用。安检联网平台基于“统一软件技术架构”先进理念设计，采用业务组件化技术，满足平台在业务上的弹性扩展。</w:t>
      </w:r>
    </w:p>
    <w:p>
      <w:pPr>
        <w:pStyle w:val="50"/>
        <w:ind w:firstLine="0" w:firstLineChars="0"/>
        <w:jc w:val="center"/>
      </w:pPr>
      <w:r>
        <w:drawing>
          <wp:inline distT="0" distB="0" distL="0" distR="0">
            <wp:extent cx="4267200" cy="20808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67200" cy="2080895"/>
                    </a:xfrm>
                    <a:prstGeom prst="rect">
                      <a:avLst/>
                    </a:prstGeom>
                    <a:noFill/>
                    <a:ln>
                      <a:noFill/>
                    </a:ln>
                  </pic:spPr>
                </pic:pic>
              </a:graphicData>
            </a:graphic>
          </wp:inline>
        </w:drawing>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平台功能主要包括：智慧安检、立体防控、安检管控、综合管控、视频监控、网络管理等六大模块。该平台适用于全行业通用综合安防业务，对各系统资源进行了整合和集中管理，实现统一部署、统一配置、统一管理和统一调度。</w:t>
      </w:r>
    </w:p>
    <w:p>
      <w:pPr>
        <w:pStyle w:val="50"/>
        <w:ind w:firstLine="0" w:firstLineChars="0"/>
        <w:jc w:val="center"/>
      </w:pPr>
      <w:r>
        <w:drawing>
          <wp:inline distT="0" distB="0" distL="0" distR="0">
            <wp:extent cx="3750310" cy="20339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60990" cy="2039454"/>
                    </a:xfrm>
                    <a:prstGeom prst="rect">
                      <a:avLst/>
                    </a:prstGeom>
                    <a:noFill/>
                    <a:ln>
                      <a:noFill/>
                    </a:ln>
                  </pic:spPr>
                </pic:pic>
              </a:graphicData>
            </a:graphic>
          </wp:inline>
        </w:drawing>
      </w:r>
    </w:p>
    <w:p>
      <w:pPr>
        <w:widowControl/>
        <w:spacing w:line="360" w:lineRule="auto"/>
        <w:ind w:firstLine="562" w:firstLineChars="200"/>
        <w:rPr>
          <w:rFonts w:ascii="仿宋" w:hAnsi="仿宋" w:eastAsia="仿宋" w:cs="Times New Roman"/>
          <w:b/>
          <w:bCs/>
          <w:szCs w:val="24"/>
        </w:rPr>
      </w:pPr>
      <w:r>
        <w:rPr>
          <w:rFonts w:hint="eastAsia" w:ascii="仿宋" w:hAnsi="仿宋" w:eastAsia="仿宋" w:cs="Times New Roman"/>
          <w:b/>
          <w:bCs/>
          <w:szCs w:val="24"/>
        </w:rPr>
        <w:t>（3）以视频为核心的技术融合，创造全新应用</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区别于传统安检，智慧安检系统在安检机的放包处和取包处增设两个前端摄像头，并连接至智能分析仪，系统将过检人员从放包到取包的整个过程进行录像，为安检信息的回溯提供证据链；在安检门放置的两路人脸抓拍机，会对过检人员进行人像抓拍，接入并存储在智能分析仪中，帮助现场的安检人员及时查看相关安检信息，将人、包进行匹配；通过</w:t>
      </w:r>
      <w:r>
        <w:rPr>
          <w:rFonts w:ascii="仿宋" w:hAnsi="仿宋" w:eastAsia="仿宋" w:cs="Times New Roman"/>
          <w:szCs w:val="24"/>
        </w:rPr>
        <w:t>智能</w:t>
      </w:r>
      <w:r>
        <w:rPr>
          <w:rFonts w:hint="eastAsia" w:ascii="仿宋" w:hAnsi="仿宋" w:eastAsia="仿宋" w:cs="Times New Roman"/>
          <w:szCs w:val="24"/>
        </w:rPr>
        <w:t>分析</w:t>
      </w:r>
      <w:r>
        <w:rPr>
          <w:rFonts w:ascii="仿宋" w:hAnsi="仿宋" w:eastAsia="仿宋" w:cs="Times New Roman"/>
          <w:szCs w:val="24"/>
        </w:rPr>
        <w:t>设备，检测安检人员</w:t>
      </w:r>
      <w:r>
        <w:rPr>
          <w:rFonts w:hint="eastAsia" w:ascii="仿宋" w:hAnsi="仿宋" w:eastAsia="仿宋" w:cs="Times New Roman"/>
          <w:szCs w:val="24"/>
        </w:rPr>
        <w:t>在岗、离</w:t>
      </w:r>
      <w:r>
        <w:rPr>
          <w:rFonts w:ascii="仿宋" w:hAnsi="仿宋" w:eastAsia="仿宋" w:cs="Times New Roman"/>
          <w:szCs w:val="24"/>
        </w:rPr>
        <w:t>岗等行为</w:t>
      </w:r>
      <w:r>
        <w:rPr>
          <w:rFonts w:hint="eastAsia" w:ascii="仿宋" w:hAnsi="仿宋" w:eastAsia="仿宋" w:cs="Times New Roman"/>
          <w:szCs w:val="24"/>
        </w:rPr>
        <w:t>状态，为整体安检服务的运营提供有效的监管。</w:t>
      </w:r>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系统</w:t>
      </w:r>
      <w:r>
        <w:rPr>
          <w:rFonts w:ascii="仿宋" w:hAnsi="仿宋" w:eastAsia="仿宋" w:cs="Times New Roman"/>
          <w:szCs w:val="24"/>
        </w:rPr>
        <w:t>可</w:t>
      </w:r>
      <w:r>
        <w:rPr>
          <w:rFonts w:hint="eastAsia" w:ascii="仿宋" w:hAnsi="仿宋" w:eastAsia="仿宋" w:cs="Times New Roman"/>
          <w:szCs w:val="24"/>
        </w:rPr>
        <w:t>接收</w:t>
      </w:r>
      <w:r>
        <w:rPr>
          <w:rFonts w:ascii="仿宋" w:hAnsi="仿宋" w:eastAsia="仿宋" w:cs="Times New Roman"/>
          <w:szCs w:val="24"/>
        </w:rPr>
        <w:t>智能行为分析设备检测</w:t>
      </w:r>
      <w:r>
        <w:rPr>
          <w:rFonts w:hint="eastAsia" w:ascii="仿宋" w:hAnsi="仿宋" w:eastAsia="仿宋" w:cs="Times New Roman"/>
          <w:szCs w:val="24"/>
        </w:rPr>
        <w:t>反馈</w:t>
      </w:r>
      <w:r>
        <w:rPr>
          <w:rFonts w:ascii="仿宋" w:hAnsi="仿宋" w:eastAsia="仿宋" w:cs="Times New Roman"/>
          <w:szCs w:val="24"/>
        </w:rPr>
        <w:t>的安检人员实时工作情况，</w:t>
      </w:r>
      <w:r>
        <w:rPr>
          <w:rFonts w:hint="eastAsia" w:ascii="仿宋" w:hAnsi="仿宋" w:eastAsia="仿宋" w:cs="Times New Roman"/>
          <w:szCs w:val="24"/>
        </w:rPr>
        <w:t>如</w:t>
      </w:r>
      <w:r>
        <w:rPr>
          <w:rFonts w:ascii="仿宋" w:hAnsi="仿宋" w:eastAsia="仿宋" w:cs="Times New Roman"/>
          <w:szCs w:val="24"/>
        </w:rPr>
        <w:t>检测包安检人员</w:t>
      </w:r>
      <w:r>
        <w:rPr>
          <w:rFonts w:hint="eastAsia" w:ascii="仿宋" w:hAnsi="仿宋" w:eastAsia="仿宋" w:cs="Times New Roman"/>
          <w:szCs w:val="24"/>
        </w:rPr>
        <w:t>在岗、离</w:t>
      </w:r>
      <w:r>
        <w:rPr>
          <w:rFonts w:ascii="仿宋" w:hAnsi="仿宋" w:eastAsia="仿宋" w:cs="Times New Roman"/>
          <w:szCs w:val="24"/>
        </w:rPr>
        <w:t>岗等行为</w:t>
      </w:r>
      <w:r>
        <w:rPr>
          <w:rFonts w:hint="eastAsia" w:ascii="仿宋" w:hAnsi="仿宋" w:eastAsia="仿宋" w:cs="Times New Roman"/>
          <w:szCs w:val="24"/>
        </w:rPr>
        <w:t>，</w:t>
      </w:r>
      <w:r>
        <w:rPr>
          <w:rFonts w:ascii="仿宋" w:hAnsi="仿宋" w:eastAsia="仿宋" w:cs="Times New Roman"/>
          <w:szCs w:val="24"/>
        </w:rPr>
        <w:t>平台提供报警提示</w:t>
      </w:r>
      <w:r>
        <w:rPr>
          <w:rFonts w:hint="eastAsia" w:ascii="仿宋" w:hAnsi="仿宋" w:eastAsia="仿宋" w:cs="Times New Roman"/>
          <w:szCs w:val="24"/>
        </w:rPr>
        <w:t>。</w:t>
      </w:r>
    </w:p>
    <w:p>
      <w:pPr>
        <w:widowControl/>
        <w:spacing w:line="360" w:lineRule="auto"/>
        <w:jc w:val="center"/>
        <w:rPr>
          <w:rFonts w:ascii="仿宋" w:hAnsi="仿宋" w:eastAsia="仿宋" w:cs="Times New Roman"/>
          <w:szCs w:val="24"/>
        </w:rPr>
      </w:pPr>
      <w:r>
        <w:rPr>
          <w:rFonts w:ascii="Verdana" w:hAnsi="Verdana"/>
          <w:szCs w:val="28"/>
        </w:rPr>
        <w:drawing>
          <wp:inline distT="0" distB="0" distL="0" distR="0">
            <wp:extent cx="3411220" cy="2367915"/>
            <wp:effectExtent l="0" t="0" r="0" b="0"/>
            <wp:docPr id="3" name="图片 3" descr="3c5d10069dd5821cf669c8604ddd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c5d10069dd5821cf669c8604ddd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11220" cy="2367915"/>
                    </a:xfrm>
                    <a:prstGeom prst="rect">
                      <a:avLst/>
                    </a:prstGeom>
                    <a:noFill/>
                    <a:ln>
                      <a:noFill/>
                    </a:ln>
                  </pic:spPr>
                </pic:pic>
              </a:graphicData>
            </a:graphic>
          </wp:inline>
        </w:drawing>
      </w:r>
    </w:p>
    <w:p>
      <w:pPr>
        <w:widowControl/>
        <w:spacing w:line="360" w:lineRule="auto"/>
        <w:ind w:firstLine="562" w:firstLineChars="200"/>
        <w:rPr>
          <w:rFonts w:ascii="仿宋" w:hAnsi="仿宋" w:eastAsia="仿宋" w:cs="Times New Roman"/>
          <w:b/>
          <w:bCs/>
          <w:szCs w:val="24"/>
        </w:rPr>
      </w:pPr>
      <w:bookmarkStart w:id="12" w:name="_Toc28013366"/>
      <w:r>
        <w:rPr>
          <w:rFonts w:hint="eastAsia" w:ascii="仿宋" w:hAnsi="仿宋" w:eastAsia="仿宋" w:cs="Times New Roman"/>
          <w:b/>
          <w:bCs/>
          <w:szCs w:val="24"/>
        </w:rPr>
        <w:t>（4）基于大数据的分析预测，让调度更有依据</w:t>
      </w:r>
      <w:bookmarkEnd w:id="12"/>
    </w:p>
    <w:p>
      <w:pPr>
        <w:widowControl/>
        <w:spacing w:line="360" w:lineRule="auto"/>
        <w:ind w:firstLine="560" w:firstLineChars="200"/>
        <w:rPr>
          <w:rFonts w:ascii="仿宋" w:hAnsi="仿宋" w:eastAsia="仿宋" w:cs="Times New Roman"/>
          <w:szCs w:val="24"/>
        </w:rPr>
      </w:pPr>
      <w:r>
        <w:rPr>
          <w:rFonts w:hint="eastAsia" w:ascii="仿宋" w:hAnsi="仿宋" w:eastAsia="仿宋" w:cs="Times New Roman"/>
          <w:szCs w:val="24"/>
        </w:rPr>
        <w:t>通过这些前端实现多维感知数据的采集及前端智能化的处理。处理之后的数据聚边到域汇聚到联网平台，实现对数据的汇聚、存储及智能应用。最后将所有的数据接入云中心，使得业务数据融合，利用大数据进行多维分析预测。</w:t>
      </w:r>
    </w:p>
    <w:p>
      <w:pPr>
        <w:jc w:val="center"/>
      </w:pPr>
      <w:r>
        <w:drawing>
          <wp:inline distT="0" distB="0" distL="0" distR="0">
            <wp:extent cx="5567045" cy="31076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76872" cy="3113015"/>
                    </a:xfrm>
                    <a:prstGeom prst="rect">
                      <a:avLst/>
                    </a:prstGeom>
                    <a:noFill/>
                    <a:ln>
                      <a:noFill/>
                    </a:ln>
                  </pic:spPr>
                </pic:pic>
              </a:graphicData>
            </a:graphic>
          </wp:inline>
        </w:drawing>
      </w:r>
    </w:p>
    <w:p>
      <w:pPr>
        <w:widowControl/>
        <w:spacing w:line="360" w:lineRule="auto"/>
        <w:jc w:val="center"/>
        <w:rPr>
          <w:rFonts w:ascii="仿宋" w:hAnsi="仿宋" w:eastAsia="仿宋" w:cs="Times New Roman"/>
          <w:szCs w:val="24"/>
        </w:rPr>
      </w:pPr>
    </w:p>
    <w:p>
      <w:pPr>
        <w:widowControl/>
        <w:spacing w:line="360" w:lineRule="auto"/>
        <w:jc w:val="center"/>
        <w:rPr>
          <w:rFonts w:ascii="仿宋" w:hAnsi="仿宋" w:eastAsia="仿宋" w:cs="Times New Roman"/>
          <w:szCs w:val="24"/>
        </w:rPr>
      </w:pPr>
    </w:p>
    <w:p>
      <w:pPr>
        <w:pStyle w:val="40"/>
        <w:keepNext/>
        <w:keepLines/>
        <w:pageBreakBefore/>
        <w:widowControl/>
        <w:ind w:left="420" w:firstLine="0" w:firstLineChars="0"/>
        <w:jc w:val="center"/>
        <w:outlineLvl w:val="1"/>
        <w:rPr>
          <w:rFonts w:ascii="仿宋" w:hAnsi="仿宋" w:eastAsia="仿宋"/>
          <w:b/>
          <w:sz w:val="40"/>
          <w:szCs w:val="32"/>
        </w:rPr>
      </w:pPr>
      <w:bookmarkStart w:id="13" w:name="_Toc65847401"/>
      <w:r>
        <w:rPr>
          <w:rFonts w:hint="eastAsia" w:ascii="仿宋" w:hAnsi="仿宋" w:eastAsia="仿宋"/>
          <w:b/>
          <w:sz w:val="40"/>
          <w:szCs w:val="32"/>
        </w:rPr>
        <w:t>第二章</w:t>
      </w:r>
      <w:bookmarkStart w:id="14" w:name="_Toc28196"/>
      <w:r>
        <w:rPr>
          <w:rFonts w:hint="eastAsia" w:ascii="仿宋" w:hAnsi="仿宋" w:eastAsia="仿宋"/>
          <w:b/>
          <w:sz w:val="40"/>
          <w:szCs w:val="32"/>
        </w:rPr>
        <w:t xml:space="preserve"> 主要设备指标要求</w:t>
      </w:r>
      <w:bookmarkEnd w:id="13"/>
      <w:bookmarkEnd w:id="14"/>
    </w:p>
    <w:p>
      <w:pPr>
        <w:pStyle w:val="40"/>
        <w:keepNext/>
        <w:keepLines/>
        <w:numPr>
          <w:ilvl w:val="0"/>
          <w:numId w:val="2"/>
        </w:numPr>
        <w:spacing w:before="260" w:after="260" w:line="416" w:lineRule="auto"/>
        <w:ind w:firstLineChars="0"/>
        <w:outlineLvl w:val="2"/>
        <w:rPr>
          <w:rFonts w:ascii="仿宋" w:hAnsi="仿宋" w:eastAsia="仿宋"/>
          <w:b/>
          <w:bCs/>
          <w:vanish/>
          <w:color w:val="ED7D31" w:themeColor="accent2"/>
          <w:sz w:val="30"/>
          <w:szCs w:val="32"/>
          <w14:textFill>
            <w14:solidFill>
              <w14:schemeClr w14:val="accent2"/>
            </w14:solidFill>
          </w14:textFill>
        </w:rPr>
      </w:pPr>
      <w:bookmarkStart w:id="15" w:name="_Toc55220356"/>
      <w:bookmarkEnd w:id="15"/>
      <w:bookmarkStart w:id="16" w:name="_Toc65847402"/>
      <w:bookmarkEnd w:id="16"/>
      <w:bookmarkStart w:id="17" w:name="_Toc65847341"/>
      <w:bookmarkEnd w:id="17"/>
      <w:bookmarkStart w:id="18" w:name="_Toc64905497"/>
      <w:bookmarkEnd w:id="18"/>
      <w:bookmarkStart w:id="19" w:name="_Toc55219385"/>
      <w:bookmarkEnd w:id="19"/>
      <w:bookmarkStart w:id="20" w:name="_Toc55218895"/>
      <w:bookmarkEnd w:id="20"/>
      <w:bookmarkStart w:id="21" w:name="_Toc55218654"/>
      <w:bookmarkEnd w:id="21"/>
      <w:bookmarkStart w:id="22" w:name="_Toc55218337"/>
      <w:bookmarkEnd w:id="22"/>
      <w:bookmarkStart w:id="23" w:name="_Toc55217719"/>
      <w:bookmarkEnd w:id="23"/>
      <w:bookmarkStart w:id="24" w:name="_Toc51582184"/>
      <w:bookmarkEnd w:id="24"/>
      <w:bookmarkStart w:id="25" w:name="_Toc51581762"/>
      <w:bookmarkEnd w:id="25"/>
      <w:bookmarkStart w:id="26" w:name="_Toc51581719"/>
      <w:bookmarkEnd w:id="26"/>
      <w:bookmarkStart w:id="27" w:name="_Toc45291714"/>
      <w:bookmarkEnd w:id="27"/>
      <w:bookmarkStart w:id="28" w:name="_Toc42267332"/>
      <w:bookmarkEnd w:id="28"/>
      <w:bookmarkStart w:id="29" w:name="_Toc36630986"/>
      <w:bookmarkEnd w:id="29"/>
      <w:bookmarkStart w:id="30" w:name="_Toc36630938"/>
      <w:bookmarkEnd w:id="30"/>
      <w:bookmarkStart w:id="31" w:name="_Toc36565459"/>
      <w:bookmarkEnd w:id="31"/>
      <w:bookmarkStart w:id="32" w:name="_Toc36564855"/>
      <w:bookmarkEnd w:id="32"/>
      <w:bookmarkStart w:id="33" w:name="_Toc36564819"/>
      <w:bookmarkEnd w:id="33"/>
      <w:bookmarkStart w:id="34" w:name="_Toc36564783"/>
      <w:bookmarkEnd w:id="34"/>
      <w:bookmarkStart w:id="35" w:name="_Toc36563806"/>
      <w:bookmarkEnd w:id="35"/>
      <w:bookmarkStart w:id="36" w:name="_Toc36559894"/>
      <w:bookmarkEnd w:id="36"/>
      <w:bookmarkStart w:id="37" w:name="_Toc36482797"/>
      <w:bookmarkEnd w:id="37"/>
      <w:bookmarkStart w:id="38" w:name="_Toc35850750"/>
      <w:bookmarkEnd w:id="38"/>
      <w:bookmarkStart w:id="39" w:name="_Toc35689848"/>
      <w:bookmarkEnd w:id="39"/>
      <w:bookmarkStart w:id="40" w:name="_Toc35683792"/>
      <w:bookmarkEnd w:id="40"/>
      <w:bookmarkStart w:id="41" w:name="_Toc35675679"/>
      <w:bookmarkEnd w:id="41"/>
      <w:bookmarkStart w:id="42" w:name="_Toc35675629"/>
      <w:bookmarkEnd w:id="42"/>
      <w:bookmarkStart w:id="43" w:name="_Toc35675579"/>
      <w:bookmarkEnd w:id="43"/>
      <w:bookmarkStart w:id="44" w:name="_Toc35594261"/>
      <w:bookmarkEnd w:id="44"/>
      <w:bookmarkStart w:id="45" w:name="_Toc35596196"/>
      <w:bookmarkEnd w:id="45"/>
      <w:bookmarkStart w:id="46" w:name="_Toc35593262"/>
      <w:bookmarkEnd w:id="46"/>
      <w:bookmarkStart w:id="47" w:name="_Toc35675146"/>
      <w:bookmarkEnd w:id="47"/>
      <w:bookmarkStart w:id="48" w:name="_Toc35618329"/>
      <w:bookmarkEnd w:id="48"/>
      <w:bookmarkStart w:id="49" w:name="_Toc35596381"/>
      <w:bookmarkEnd w:id="49"/>
      <w:bookmarkStart w:id="50" w:name="_Toc35596234"/>
      <w:bookmarkEnd w:id="50"/>
      <w:bookmarkStart w:id="51" w:name="_Toc33710325"/>
      <w:bookmarkEnd w:id="51"/>
      <w:bookmarkStart w:id="52" w:name="_Toc33782310"/>
      <w:bookmarkEnd w:id="52"/>
      <w:bookmarkStart w:id="53" w:name="_Toc35434797"/>
      <w:bookmarkEnd w:id="53"/>
      <w:bookmarkStart w:id="54" w:name="_Toc35432944"/>
      <w:bookmarkEnd w:id="54"/>
      <w:bookmarkStart w:id="55" w:name="_Toc35593241"/>
      <w:bookmarkEnd w:id="55"/>
      <w:bookmarkStart w:id="56" w:name="_Toc35593165"/>
      <w:bookmarkEnd w:id="56"/>
      <w:bookmarkStart w:id="57" w:name="_Toc35442826"/>
      <w:bookmarkEnd w:id="57"/>
      <w:bookmarkStart w:id="58" w:name="_Toc35441599"/>
      <w:bookmarkEnd w:id="58"/>
      <w:bookmarkStart w:id="59" w:name="_Toc33625533"/>
      <w:bookmarkEnd w:id="59"/>
      <w:bookmarkStart w:id="60" w:name="_Toc33625251"/>
      <w:bookmarkEnd w:id="60"/>
      <w:bookmarkStart w:id="61" w:name="_Toc33625300"/>
      <w:bookmarkEnd w:id="61"/>
      <w:bookmarkStart w:id="62" w:name="_Toc33541574"/>
      <w:bookmarkEnd w:id="62"/>
      <w:bookmarkStart w:id="63" w:name="_Toc33531518"/>
      <w:bookmarkEnd w:id="63"/>
      <w:bookmarkStart w:id="64" w:name="_Toc26200216"/>
      <w:bookmarkEnd w:id="64"/>
      <w:bookmarkStart w:id="65" w:name="_Toc24789117"/>
      <w:bookmarkEnd w:id="65"/>
      <w:bookmarkStart w:id="66" w:name="_Toc24704891"/>
      <w:bookmarkEnd w:id="66"/>
      <w:bookmarkStart w:id="67" w:name="_Toc24703682"/>
      <w:bookmarkEnd w:id="67"/>
      <w:bookmarkStart w:id="68" w:name="_Toc24703638"/>
      <w:bookmarkEnd w:id="68"/>
      <w:bookmarkStart w:id="69" w:name="_Toc24703070"/>
      <w:bookmarkEnd w:id="69"/>
      <w:bookmarkStart w:id="70" w:name="_Toc24703061"/>
      <w:bookmarkEnd w:id="70"/>
      <w:bookmarkStart w:id="71" w:name="_Toc24642483"/>
      <w:bookmarkEnd w:id="71"/>
      <w:bookmarkStart w:id="72" w:name="_Toc24642470"/>
      <w:bookmarkEnd w:id="72"/>
      <w:bookmarkStart w:id="73" w:name="_Toc24557924"/>
      <w:bookmarkEnd w:id="73"/>
      <w:bookmarkStart w:id="74" w:name="_Toc24557941"/>
      <w:bookmarkEnd w:id="74"/>
      <w:bookmarkStart w:id="75" w:name="_Toc24383603"/>
      <w:bookmarkEnd w:id="75"/>
      <w:bookmarkStart w:id="76" w:name="_Toc23925268"/>
      <w:bookmarkEnd w:id="76"/>
      <w:bookmarkStart w:id="77" w:name="_Toc24019546"/>
      <w:bookmarkEnd w:id="77"/>
      <w:bookmarkStart w:id="78" w:name="_Toc23788390"/>
      <w:bookmarkEnd w:id="78"/>
      <w:bookmarkStart w:id="79" w:name="_Toc23923612"/>
      <w:bookmarkEnd w:id="79"/>
      <w:bookmarkStart w:id="80" w:name="_Toc23845919"/>
      <w:bookmarkEnd w:id="80"/>
      <w:bookmarkStart w:id="81" w:name="_Toc23845729"/>
      <w:bookmarkEnd w:id="81"/>
      <w:bookmarkStart w:id="82" w:name="_Toc23792994"/>
      <w:bookmarkEnd w:id="82"/>
      <w:bookmarkStart w:id="83" w:name="_Toc23788456"/>
      <w:bookmarkEnd w:id="83"/>
      <w:bookmarkStart w:id="84" w:name="_Toc23794862"/>
      <w:bookmarkEnd w:id="84"/>
      <w:bookmarkStart w:id="85" w:name="_Toc23774845"/>
      <w:bookmarkEnd w:id="85"/>
      <w:bookmarkStart w:id="86" w:name="_Toc23791516"/>
      <w:bookmarkEnd w:id="86"/>
      <w:bookmarkStart w:id="87" w:name="_Toc23792875"/>
      <w:bookmarkEnd w:id="87"/>
      <w:bookmarkStart w:id="88" w:name="_Toc32102"/>
      <w:bookmarkStart w:id="89" w:name="_Toc34230875"/>
    </w:p>
    <w:p>
      <w:pPr>
        <w:pStyle w:val="4"/>
        <w:numPr>
          <w:ilvl w:val="1"/>
          <w:numId w:val="2"/>
        </w:numPr>
        <w:spacing w:line="360" w:lineRule="auto"/>
        <w:rPr>
          <w:rFonts w:ascii="仿宋" w:hAnsi="仿宋" w:eastAsia="仿宋"/>
          <w:sz w:val="30"/>
        </w:rPr>
      </w:pPr>
      <w:bookmarkStart w:id="90" w:name="_Toc65847403"/>
      <w:r>
        <w:rPr>
          <w:rFonts w:ascii="仿宋" w:hAnsi="仿宋" w:eastAsia="仿宋"/>
          <w:sz w:val="30"/>
        </w:rPr>
        <w:t>智能X光安检机</w:t>
      </w:r>
      <w:bookmarkEnd w:id="88"/>
      <w:bookmarkEnd w:id="89"/>
      <w:bookmarkEnd w:id="90"/>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智能X光安检机</w:t>
      </w:r>
      <w:r>
        <w:rPr>
          <w:rFonts w:hint="eastAsia" w:ascii="仿宋" w:hAnsi="仿宋" w:eastAsia="仿宋" w:cs="宋体"/>
          <w:szCs w:val="28"/>
          <w:lang w:bidi="ar"/>
        </w:rPr>
        <w:t>是一款利用X射线的穿透能力实现对行李、货物进行快速不开箱检查的安检设备。其</w:t>
      </w:r>
      <w:r>
        <w:rPr>
          <w:rFonts w:hint="eastAsia" w:ascii="仿宋" w:hAnsi="仿宋" w:eastAsia="仿宋" w:cs="Times New Roman"/>
          <w:szCs w:val="28"/>
          <w:lang w:bidi="ar"/>
        </w:rPr>
        <w:t>融合了智能识别、人脸识别、行为分析及变速等功能，可以更好的解决由于安检员集中度不高造成的漏检以及高峰期安检压力过大等问题。</w:t>
      </w:r>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w:t>
      </w:r>
      <w:r>
        <w:rPr>
          <w:rFonts w:ascii="仿宋" w:hAnsi="仿宋" w:eastAsia="仿宋" w:cs="Times New Roman"/>
          <w:szCs w:val="28"/>
          <w:lang w:bidi="ar"/>
        </w:rPr>
        <w:tab/>
      </w:r>
      <w:r>
        <w:rPr>
          <w:rFonts w:ascii="仿宋" w:hAnsi="仿宋" w:eastAsia="仿宋" w:cs="Times New Roman"/>
          <w:szCs w:val="28"/>
          <w:lang w:bidi="ar"/>
        </w:rPr>
        <w:t>先进的物质属性识别技术</w:t>
      </w:r>
      <w:r>
        <w:rPr>
          <w:rFonts w:hint="eastAsia" w:ascii="仿宋" w:hAnsi="仿宋" w:eastAsia="仿宋" w:cs="Times New Roman"/>
          <w:szCs w:val="28"/>
          <w:lang w:bidi="ar"/>
        </w:rPr>
        <w:t>：</w:t>
      </w:r>
      <w:r>
        <w:rPr>
          <w:rFonts w:ascii="仿宋" w:hAnsi="仿宋" w:eastAsia="仿宋" w:cs="Times New Roman"/>
          <w:szCs w:val="28"/>
          <w:lang w:bidi="ar"/>
        </w:rPr>
        <w:t>可以有效识别被检物的等效原子序数并赋予不同的颜色</w:t>
      </w:r>
      <w:r>
        <w:rPr>
          <w:rFonts w:hint="eastAsia" w:ascii="仿宋" w:hAnsi="仿宋" w:eastAsia="仿宋" w:cs="Times New Roman"/>
          <w:szCs w:val="28"/>
          <w:lang w:bidi="ar"/>
        </w:rPr>
        <w:t>；</w:t>
      </w:r>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w:t>
      </w:r>
      <w:r>
        <w:rPr>
          <w:rFonts w:ascii="仿宋" w:hAnsi="仿宋" w:eastAsia="仿宋" w:cs="Times New Roman"/>
          <w:szCs w:val="28"/>
          <w:lang w:bidi="ar"/>
        </w:rPr>
        <w:tab/>
      </w:r>
      <w:r>
        <w:rPr>
          <w:rFonts w:ascii="仿宋" w:hAnsi="仿宋" w:eastAsia="仿宋" w:cs="Times New Roman"/>
          <w:szCs w:val="28"/>
          <w:lang w:bidi="ar"/>
        </w:rPr>
        <w:t>智能识别技术</w:t>
      </w:r>
      <w:r>
        <w:rPr>
          <w:rFonts w:hint="eastAsia" w:ascii="仿宋" w:hAnsi="仿宋" w:eastAsia="仿宋" w:cs="Times New Roman"/>
          <w:szCs w:val="28"/>
          <w:lang w:bidi="ar"/>
        </w:rPr>
        <w:t>：</w:t>
      </w:r>
      <w:r>
        <w:rPr>
          <w:rFonts w:ascii="仿宋" w:hAnsi="仿宋" w:eastAsia="仿宋" w:cs="Times New Roman"/>
          <w:szCs w:val="28"/>
          <w:lang w:bidi="ar"/>
        </w:rPr>
        <w:t>具有完全自主知识产权的深度学习识别算法，实现了智能识别算法和X射线成像软件的深度融合，识别效果更优</w:t>
      </w:r>
      <w:r>
        <w:rPr>
          <w:rFonts w:hint="eastAsia" w:ascii="仿宋" w:hAnsi="仿宋" w:eastAsia="仿宋" w:cs="Times New Roman"/>
          <w:szCs w:val="28"/>
          <w:lang w:bidi="ar"/>
        </w:rPr>
        <w:t>；</w:t>
      </w:r>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w:t>
      </w:r>
      <w:r>
        <w:rPr>
          <w:rFonts w:ascii="仿宋" w:hAnsi="仿宋" w:eastAsia="仿宋" w:cs="Times New Roman"/>
          <w:szCs w:val="28"/>
          <w:lang w:bidi="ar"/>
        </w:rPr>
        <w:tab/>
      </w:r>
      <w:r>
        <w:rPr>
          <w:rFonts w:ascii="仿宋" w:hAnsi="仿宋" w:eastAsia="仿宋" w:cs="Times New Roman"/>
          <w:szCs w:val="28"/>
          <w:lang w:bidi="ar"/>
        </w:rPr>
        <w:t>低辐射剂量</w:t>
      </w:r>
      <w:r>
        <w:rPr>
          <w:rFonts w:hint="eastAsia" w:ascii="仿宋" w:hAnsi="仿宋" w:eastAsia="仿宋" w:cs="Times New Roman"/>
          <w:szCs w:val="28"/>
          <w:lang w:bidi="ar"/>
        </w:rPr>
        <w:t>：</w:t>
      </w:r>
      <w:r>
        <w:rPr>
          <w:rFonts w:ascii="仿宋" w:hAnsi="仿宋" w:eastAsia="仿宋" w:cs="Times New Roman"/>
          <w:szCs w:val="28"/>
          <w:lang w:bidi="ar"/>
        </w:rPr>
        <w:t>辐射泄露剂量率达到天然环境本底水平，远低于国标要求</w:t>
      </w:r>
      <w:r>
        <w:rPr>
          <w:rFonts w:hint="eastAsia" w:ascii="仿宋" w:hAnsi="仿宋" w:eastAsia="仿宋" w:cs="Times New Roman"/>
          <w:szCs w:val="28"/>
          <w:lang w:bidi="ar"/>
        </w:rPr>
        <w:t>；</w:t>
      </w:r>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w:t>
      </w:r>
      <w:r>
        <w:rPr>
          <w:rFonts w:ascii="仿宋" w:hAnsi="仿宋" w:eastAsia="仿宋" w:cs="Times New Roman"/>
          <w:szCs w:val="28"/>
          <w:lang w:bidi="ar"/>
        </w:rPr>
        <w:tab/>
      </w:r>
      <w:r>
        <w:rPr>
          <w:rFonts w:ascii="仿宋" w:hAnsi="仿宋" w:eastAsia="仿宋" w:cs="Times New Roman"/>
          <w:szCs w:val="28"/>
          <w:lang w:bidi="ar"/>
        </w:rPr>
        <w:t>可变速</w:t>
      </w:r>
      <w:r>
        <w:rPr>
          <w:rFonts w:hint="eastAsia" w:ascii="仿宋" w:hAnsi="仿宋" w:eastAsia="仿宋" w:cs="Times New Roman"/>
          <w:szCs w:val="28"/>
          <w:lang w:bidi="ar"/>
        </w:rPr>
        <w:t>：</w:t>
      </w:r>
      <w:r>
        <w:rPr>
          <w:rFonts w:ascii="仿宋" w:hAnsi="仿宋" w:eastAsia="仿宋" w:cs="Times New Roman"/>
          <w:szCs w:val="28"/>
          <w:lang w:bidi="ar"/>
        </w:rPr>
        <w:t>可根据场景实现一键速度切换</w:t>
      </w:r>
      <w:r>
        <w:rPr>
          <w:rFonts w:hint="eastAsia" w:ascii="仿宋" w:hAnsi="仿宋" w:eastAsia="仿宋" w:cs="Times New Roman"/>
          <w:szCs w:val="28"/>
          <w:lang w:bidi="ar"/>
        </w:rPr>
        <w:t>；</w:t>
      </w:r>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w:t>
      </w:r>
      <w:r>
        <w:rPr>
          <w:rFonts w:ascii="仿宋" w:hAnsi="仿宋" w:eastAsia="仿宋" w:cs="Times New Roman"/>
          <w:szCs w:val="28"/>
          <w:lang w:bidi="ar"/>
        </w:rPr>
        <w:tab/>
      </w:r>
      <w:r>
        <w:rPr>
          <w:rFonts w:ascii="仿宋" w:hAnsi="仿宋" w:eastAsia="仿宋" w:cs="Times New Roman"/>
          <w:szCs w:val="28"/>
          <w:lang w:bidi="ar"/>
        </w:rPr>
        <w:t>安检联网</w:t>
      </w:r>
      <w:r>
        <w:rPr>
          <w:rFonts w:hint="eastAsia" w:ascii="仿宋" w:hAnsi="仿宋" w:eastAsia="仿宋" w:cs="Times New Roman"/>
          <w:szCs w:val="28"/>
          <w:lang w:bidi="ar"/>
        </w:rPr>
        <w:t>：</w:t>
      </w:r>
      <w:r>
        <w:rPr>
          <w:rFonts w:ascii="仿宋" w:hAnsi="仿宋" w:eastAsia="仿宋" w:cs="Times New Roman"/>
          <w:szCs w:val="28"/>
          <w:lang w:bidi="ar"/>
        </w:rPr>
        <w:t>支持接入上级安检联网管理平台，实现数据上传管理</w:t>
      </w:r>
      <w:r>
        <w:rPr>
          <w:rFonts w:hint="eastAsia" w:ascii="仿宋" w:hAnsi="仿宋" w:eastAsia="仿宋" w:cs="Times New Roman"/>
          <w:szCs w:val="28"/>
          <w:lang w:bidi="ar"/>
        </w:rPr>
        <w:t>；</w:t>
      </w:r>
    </w:p>
    <w:p>
      <w:pPr>
        <w:spacing w:line="360" w:lineRule="auto"/>
        <w:ind w:firstLine="560"/>
        <w:rPr>
          <w:rFonts w:ascii="仿宋" w:hAnsi="仿宋" w:eastAsia="仿宋" w:cs="Times New Roman"/>
          <w:szCs w:val="28"/>
          <w:lang w:bidi="ar"/>
        </w:rPr>
      </w:pPr>
      <w:r>
        <w:rPr>
          <w:rFonts w:hint="eastAsia" w:ascii="仿宋" w:hAnsi="仿宋" w:eastAsia="仿宋" w:cs="Times New Roman"/>
          <w:szCs w:val="28"/>
          <w:lang w:bidi="ar"/>
        </w:rPr>
        <w:t>·</w:t>
      </w:r>
      <w:r>
        <w:rPr>
          <w:rFonts w:ascii="仿宋" w:hAnsi="仿宋" w:eastAsia="仿宋" w:cs="Times New Roman"/>
          <w:szCs w:val="28"/>
          <w:lang w:bidi="ar"/>
        </w:rPr>
        <w:tab/>
      </w:r>
      <w:r>
        <w:rPr>
          <w:rFonts w:ascii="仿宋" w:hAnsi="仿宋" w:eastAsia="仿宋" w:cs="Times New Roman"/>
          <w:szCs w:val="28"/>
          <w:lang w:bidi="ar"/>
        </w:rPr>
        <w:t>数据存储</w:t>
      </w:r>
      <w:r>
        <w:rPr>
          <w:rFonts w:hint="eastAsia" w:ascii="仿宋" w:hAnsi="仿宋" w:eastAsia="仿宋" w:cs="Times New Roman"/>
          <w:szCs w:val="28"/>
          <w:lang w:bidi="ar"/>
        </w:rPr>
        <w:t>：</w:t>
      </w:r>
      <w:r>
        <w:rPr>
          <w:rFonts w:ascii="仿宋" w:hAnsi="仿宋" w:eastAsia="仿宋" w:cs="Times New Roman"/>
          <w:szCs w:val="28"/>
          <w:lang w:bidi="ar"/>
        </w:rPr>
        <w:t>支持安检机图片、报警信息本地存储、查看、调用</w:t>
      </w:r>
      <w:r>
        <w:rPr>
          <w:rFonts w:hint="eastAsia" w:ascii="仿宋" w:hAnsi="仿宋" w:eastAsia="仿宋" w:cs="Times New Roman"/>
          <w:szCs w:val="28"/>
          <w:lang w:bidi="ar"/>
        </w:rPr>
        <w:t>。</w:t>
      </w:r>
    </w:p>
    <w:p>
      <w:pPr>
        <w:spacing w:line="360" w:lineRule="auto"/>
        <w:ind w:left="560"/>
        <w:rPr>
          <w:rFonts w:ascii="仿宋" w:hAnsi="仿宋" w:eastAsia="仿宋" w:cs="Times New Roman"/>
          <w:szCs w:val="28"/>
          <w:lang w:bidi="ar"/>
        </w:rPr>
      </w:pPr>
    </w:p>
    <w:p>
      <w:pPr>
        <w:pStyle w:val="5"/>
        <w:numPr>
          <w:ilvl w:val="2"/>
          <w:numId w:val="2"/>
        </w:numPr>
        <w:spacing w:line="360" w:lineRule="auto"/>
        <w:rPr>
          <w:rFonts w:ascii="仿宋" w:hAnsi="仿宋" w:eastAsia="仿宋"/>
          <w:sz w:val="30"/>
        </w:rPr>
      </w:pPr>
      <w:r>
        <w:rPr>
          <w:rFonts w:hint="eastAsia" w:ascii="仿宋" w:hAnsi="仿宋" w:eastAsia="仿宋"/>
          <w:sz w:val="30"/>
        </w:rPr>
        <w:t>安检机设备指标要求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8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4452" w:type="pct"/>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▲线分辨力：0.2m/s下：能分辨标称直径为0.0787mm（AWG40）的单根实芯铜线（须提供公安部检验报告复印件证明并加盖原厂盖章）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▲穿透分辨力：0.2m/s下：能分辨厚度为9.5mm、15.9mm和22.2mm铝阶梯下标称直径为0.127mm（AWG36）的单根实芯铜线（须提供公安部检验报告复印件证明并加盖原厂盖章）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▲空间分辨力：0.2m/s下：能分辨直径为0.8mm的线对（须提供公安部检验报告复印件证明并加盖原厂盖章）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▲穿透力：0.2m/s：穿透钢板厚度为46mm（须提供公安部检验报告复印件证明并加盖原厂盖章）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▲设备的输送速度应能在0.2m/s～0.4m/s之间任意可调。（须提供公安部检验报告复印件证明并加盖原厂盖章）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6</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▲设备传送带正反向运转不跑偏。正向连续运转10min内，横向位移小于等于1.0mm（须提供公安部检验报告复印件证明并加盖原厂盖章）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7</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▲设备反向连续运转30s内，横向位移小于等于1.0mm（须提供公安部检验报告复印件证明并加盖原厂盖章）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8</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▲单次检查剂量：0.2m/s下:3.3μGy（须提供公安部检验报告复印件证明并加盖原厂盖章）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9</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▲周围剂量当量率：0.2m/s速度下设备正常工作时，封闭式设备在距设备的任何可达表面0.1m处（包括设备的入口、出口处）周围剂量当量率:0.01μSv/h（须提供公安部检验报告复印件证明并加盖原厂盖章）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▲图像回拉：设备可按图像生成顺序连续回调当前用户的历史过检图像，无图像数量限制（须提供公安部检验报告复印件证明并加盖原厂盖章）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11</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▲超薄物体检测功能：当被测物过薄而无法遮挡光障时，人工按下操作台上的相应功能键，设备应能检测出厚度为0.04mm的标准塞尺。（须提供公安部检验报告复印件证明并加盖原厂盖章）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12</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▲设备应具备联网功能，能支持与远程客户端进行图像传输、信息交互、远程诊断、联动控制等联网操作（须提供公安部检验报告复印件证明并加盖原厂盖章）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13</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▲设备应支持双向节能环保功能。当传送带上无行李物品时，设备的传送装置应自动停止；当行李物品放上传送带时，设备的传送装置应自动运行。（须提供公安部检验报告复印件证明并加盖原厂盖章）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14</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▲设备能通过一键操作的方式实现一键开机和一键关机。（须提供公安部检验报告复印件证明并加盖原厂盖章）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▲设备内置智能识别算法，实现对违禁品的智能识别功能。当检测到以下违禁品时，能自动识别并通过图像圈定、声光报警：1、枪支 2、刀具 3、剪刀4、喷灌 5、雨伞 6、饮料瓶7、手机 8、电池 9、笔记本电脑10、鞭炮 11、手铐（须提供公安部检验报告复印件证明并加盖原厂盖章）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16</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▲报警种类可单独选择，报警方式可设置，并可将报警信息实时通过网络传输给平台（须提供公安部检验报告复印件证明并加盖原厂盖章）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17</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▲设备应具有用户注册、冻结、编辑和删除功能，同时具备密码、指纹和人脸录入及编辑功能。（须提供公安部检验报告复印件证明并加盖原厂盖章）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18</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▲设备具有密码登陆、指纹登录和人脸识别登录的功能（须提供公安部检验报告复印件证明并加盖原厂盖章）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19</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▲设备噪声：52.3dB(A)（须提供公安部检验报告复印件证明并加盖原厂盖章）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20</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▲图像存储容量：≥100万幅（须提供公安部检验报告复印件证明并加盖原厂盖章）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21</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外形尺寸约：2127mm*989mm*1351mm（长*宽*高）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22</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传送带高度约：678mm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23</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工作温度/湿度：0℃~45℃；10%至90%(在不凝结水滴状态下)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24</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X射线冷却/工作周期：油冷/连续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8" w:type="pct"/>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w:t>
            </w:r>
          </w:p>
        </w:tc>
        <w:tc>
          <w:tcPr>
            <w:tcW w:w="4452" w:type="pct"/>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外壳防护等级应符合GB/T 4208-2017的规定，不低于IP20的要求</w:t>
            </w:r>
          </w:p>
        </w:tc>
      </w:tr>
    </w:tbl>
    <w:p>
      <w:pPr>
        <w:rPr>
          <w:rFonts w:ascii="仿宋" w:hAnsi="仿宋" w:eastAsia="仿宋"/>
        </w:rPr>
      </w:pPr>
    </w:p>
    <w:p>
      <w:pPr>
        <w:pStyle w:val="4"/>
        <w:numPr>
          <w:ilvl w:val="1"/>
          <w:numId w:val="2"/>
        </w:numPr>
        <w:spacing w:line="360" w:lineRule="auto"/>
        <w:rPr>
          <w:rFonts w:ascii="仿宋" w:hAnsi="仿宋" w:eastAsia="仿宋"/>
          <w:sz w:val="30"/>
        </w:rPr>
      </w:pPr>
      <w:bookmarkStart w:id="91" w:name="_Toc65847407"/>
      <w:r>
        <w:rPr>
          <w:rFonts w:hint="eastAsia" w:ascii="仿宋" w:hAnsi="仿宋" w:eastAsia="仿宋"/>
          <w:sz w:val="30"/>
        </w:rPr>
        <w:t>测温安检</w:t>
      </w:r>
      <w:r>
        <w:rPr>
          <w:rFonts w:ascii="仿宋" w:hAnsi="仿宋" w:eastAsia="仿宋"/>
          <w:sz w:val="30"/>
        </w:rPr>
        <w:t>门</w:t>
      </w:r>
      <w:bookmarkEnd w:id="91"/>
    </w:p>
    <w:p>
      <w:pPr>
        <w:spacing w:line="360" w:lineRule="auto"/>
        <w:ind w:firstLine="560"/>
        <w:rPr>
          <w:rFonts w:ascii="仿宋" w:hAnsi="仿宋" w:eastAsia="仿宋" w:cs="宋体"/>
          <w:szCs w:val="28"/>
          <w:lang w:bidi="ar"/>
        </w:rPr>
      </w:pPr>
      <w:r>
        <w:rPr>
          <w:rFonts w:hint="eastAsia" w:ascii="仿宋" w:hAnsi="仿宋" w:eastAsia="仿宋" w:cs="宋体"/>
          <w:szCs w:val="28"/>
          <w:lang w:bidi="ar"/>
        </w:rPr>
        <w:t>测温人脸安检门，可通过热成像非接触式测温，并实现通过人员和温度的准确匹配，建立首道防线；通过人脸相机</w:t>
      </w:r>
      <w:r>
        <w:rPr>
          <w:rFonts w:ascii="仿宋" w:hAnsi="仿宋" w:eastAsia="仿宋" w:cs="宋体"/>
          <w:szCs w:val="28"/>
          <w:lang w:bidi="ar"/>
        </w:rPr>
        <w:t>实现通过人员人脸抓拍</w:t>
      </w:r>
      <w:r>
        <w:rPr>
          <w:rFonts w:hint="eastAsia" w:ascii="仿宋" w:hAnsi="仿宋" w:eastAsia="仿宋" w:cs="宋体"/>
          <w:szCs w:val="28"/>
          <w:lang w:bidi="ar"/>
        </w:rPr>
        <w:t>，实现安检过程可查；并能够对过检人员进行金属检测；集测温、人脸、金属检测于一体，可应用于法院、学校、医院、会议中心等重要场所。</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无感测温：可对通过安检门的人员进行脸部温度测试并进行人员准确匹配，温度精度：±</w:t>
      </w:r>
      <w:r>
        <w:rPr>
          <w:rFonts w:ascii="仿宋" w:hAnsi="仿宋" w:eastAsia="仿宋" w:cs="Times New Roman"/>
          <w:szCs w:val="28"/>
          <w:lang w:bidi="ar"/>
        </w:rPr>
        <w:t>0.5℃，搭配黑体精度可达 ±0.3℃</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人体温度初筛：可通过安全温度阈值设置，超过该阈值，可联动安检门本地声光报警，建立首道防线；</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人脸比对：可对通过安检门的人员进行人脸抓拍和人脸比对，实现安检过程可查；设备本地存储</w:t>
      </w:r>
      <w:r>
        <w:rPr>
          <w:rFonts w:ascii="仿宋" w:hAnsi="仿宋" w:eastAsia="仿宋" w:cs="Times New Roman"/>
          <w:szCs w:val="28"/>
          <w:lang w:bidi="ar"/>
        </w:rPr>
        <w:t>3个独立人脸库，共3x30000张人脸；支持人脸属性功能，支持性别、年龄、年龄段、戴眼镜、戴口罩、表情、戴帽子属性；</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金属检测：可检测到</w:t>
      </w:r>
      <w:r>
        <w:rPr>
          <w:rFonts w:ascii="仿宋" w:hAnsi="仿宋" w:eastAsia="仿宋" w:cs="Times New Roman"/>
          <w:szCs w:val="28"/>
          <w:lang w:bidi="ar"/>
        </w:rPr>
        <w:t>铁磁性金属，有效进行违规物品核验；</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联网功能：可实现联网互通，搭配平台进行人脸数据、客流数据、报警数据、通过人员和温度精准匹配等数据进行汇聚应用；</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多区位报警功能：人体不同位置的多个金属通过安检门时会同时报警，并可以指示多个金属的位置，最多支持</w:t>
      </w:r>
      <w:r>
        <w:rPr>
          <w:rFonts w:ascii="仿宋" w:hAnsi="仿宋" w:eastAsia="仿宋" w:cs="Times New Roman"/>
          <w:szCs w:val="28"/>
          <w:lang w:bidi="ar"/>
        </w:rPr>
        <w:t>18区位</w:t>
      </w:r>
      <w:r>
        <w:rPr>
          <w:rFonts w:hint="eastAsia" w:ascii="仿宋" w:hAnsi="仿宋" w:eastAsia="仿宋" w:cs="Times New Roman"/>
          <w:szCs w:val="28"/>
          <w:lang w:bidi="ar"/>
        </w:rPr>
        <w:t>；</w:t>
      </w:r>
    </w:p>
    <w:p>
      <w:pPr>
        <w:pStyle w:val="40"/>
        <w:numPr>
          <w:ilvl w:val="0"/>
          <w:numId w:val="3"/>
        </w:numPr>
        <w:spacing w:line="360" w:lineRule="auto"/>
        <w:ind w:firstLineChars="0"/>
        <w:rPr>
          <w:rFonts w:ascii="仿宋" w:hAnsi="仿宋" w:eastAsia="仿宋" w:cs="Times New Roman"/>
          <w:szCs w:val="28"/>
          <w:lang w:bidi="ar"/>
        </w:rPr>
      </w:pPr>
      <w:r>
        <w:rPr>
          <w:rFonts w:hint="eastAsia" w:ascii="仿宋" w:hAnsi="仿宋" w:eastAsia="仿宋" w:cs="Times New Roman"/>
          <w:szCs w:val="28"/>
          <w:lang w:bidi="ar"/>
        </w:rPr>
        <w:t>模块化组件设计：运输、维护方便快捷。</w:t>
      </w:r>
    </w:p>
    <w:p>
      <w:pPr>
        <w:pStyle w:val="5"/>
        <w:numPr>
          <w:ilvl w:val="2"/>
          <w:numId w:val="2"/>
        </w:numPr>
        <w:spacing w:line="360" w:lineRule="auto"/>
        <w:rPr>
          <w:rFonts w:ascii="仿宋" w:hAnsi="仿宋" w:eastAsia="仿宋"/>
          <w:sz w:val="30"/>
        </w:rPr>
      </w:pPr>
      <w:r>
        <w:rPr>
          <w:rFonts w:hint="eastAsia" w:ascii="仿宋" w:hAnsi="仿宋" w:eastAsia="仿宋"/>
          <w:sz w:val="30"/>
        </w:rPr>
        <w:t>智能测温安检门设备指标要求</w:t>
      </w:r>
    </w:p>
    <w:tbl>
      <w:tblPr>
        <w:tblStyle w:val="24"/>
        <w:tblW w:w="8760" w:type="dxa"/>
        <w:tblInd w:w="0" w:type="dxa"/>
        <w:tblLayout w:type="autofit"/>
        <w:tblCellMar>
          <w:top w:w="0" w:type="dxa"/>
          <w:left w:w="108" w:type="dxa"/>
          <w:bottom w:w="0" w:type="dxa"/>
          <w:right w:w="108" w:type="dxa"/>
        </w:tblCellMar>
      </w:tblPr>
      <w:tblGrid>
        <w:gridCol w:w="960"/>
        <w:gridCol w:w="7800"/>
      </w:tblGrid>
      <w:tr>
        <w:tblPrEx>
          <w:tblCellMar>
            <w:top w:w="0" w:type="dxa"/>
            <w:left w:w="108" w:type="dxa"/>
            <w:bottom w:w="0" w:type="dxa"/>
            <w:right w:w="108" w:type="dxa"/>
          </w:tblCellMar>
        </w:tblPrEx>
        <w:trPr>
          <w:trHeight w:val="567"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78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参数要求</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探测区内磁感应强度：在探测区左右边界各方内150mm形成的区域中，任意一点的磁感应强度都不应超过30μT</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探测灵敏度范围：应能从低到高方便地调节，并至少覆盖一个检测等级，可一键切换灵敏度场景模式，最多支持50个场景模式</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通行速度：在探测区内，金属门应能对其所属探测类别的通行速度为0.2m/s～2.0m/s的应报警测试物正确响应并报警，总探测率应大于等于90%</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稳定工作时间：金属门的稳定工作时间应大于或等于24h，待机期间不应出现误报警，且应能满足GB 15210-2003中4.7.2的要求</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计数功能：金属门应能记录有效受检人数和发生过报警的人次，并能复位清零。人员从正反两个方向通行时，通过人数都会增加</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6</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报警声音：金属门报警声音应满足以下要求：与非报警声有区别，且非报警时警报指示器不产生任何声音；能调节音调，以便能明确区别两台相邻金属门的报警；能从静音到最大声强分档调节，距金属门0.8m处，最大声强大于等于85dB</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7</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报警显示：金属门报警显示应满足以下要求：颜色用红色，且与非报警显示有区别；如有分区探测功能，分区定位能一目了然，位置准确；在6000lx的明亮环境和25lx的昏暗环境下，距离报警显示器3m时能清晰可见。</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8</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▲报警响应时间：应报警测试物进入探测区后1S内，金属门应发出报警指示，此测试物离开探测区后报警指示延续应≤1S（须提供公安部检验报告复印件证明并加盖原厂盖章）</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9</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飞物报警功能：将1元硬币以不大于1m/s 速度抛过探测区域时，安检门应给出报警指示，测试50次，报警次数应大于45次</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最低探测高度：可探测距离地面3cm处金属物品并给出报警指示</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11</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分区报警功能：可设置1、6、12、18个检测区域，当有金属物进入检测区域时，该区域对应的指示灯将点亮</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12</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样机可存储并查询报警信息，存储数据不少于20000条</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13</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测温范围：30-45℃</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14</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温度异常报警功能：当检测到人员体温超过预设值时，可发出语音及提示及声光报警信息、联动抓图并将图片上传，图片包括可见光图片及热成像图片，可在图片上叠加温度信息（须提供公安部检验报告复印件证明并加盖原厂盖章）</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屏蔽功能：可在视频画面上设置测温屏蔽区域，对设置区域不进行测温</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16</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人脸检测功能：可同时检测并框选出20张人脸，并叠加测温结果</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17</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温度测量一致性：在监视画面中心点及4个角度的测温误差不大于0.1℃</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18</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对一个应报警测试物在同一位置的探测率大于等于90%；对一个不应报警测试物在同一位置的误报警率小于等于30%，且全部位置总的误报警率小于等于15%</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19</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▲报警持续时间检验：样机报警持续时间可设（0-30s）（须提供公安部检验报告复印件证明并加盖原厂盖章）</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20</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▲密码授权功能:具有2级密码，不同等级的密码有不同的设置权限（须提供公安部检验报告复印件证明并加盖原厂盖章）</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21</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▲频率设置检验：在客户端软件下，具有频率设置选项（20级）（须提供公安部检验报告复印件证明并加盖原厂盖章）</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22</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可通过两个安装于安检门门板的摄像头对通过的行人自动抓拍人脸图片；设备本地存储3个独立人脸库，共3x30000张人脸；支持人脸属性功能，支持性别、年龄、年龄段、戴眼镜、戴口罩、表情、戴帽子属性；</w:t>
            </w:r>
          </w:p>
        </w:tc>
      </w:tr>
      <w:tr>
        <w:tblPrEx>
          <w:tblCellMar>
            <w:top w:w="0" w:type="dxa"/>
            <w:left w:w="108" w:type="dxa"/>
            <w:bottom w:w="0" w:type="dxa"/>
            <w:right w:w="108" w:type="dxa"/>
          </w:tblCellMar>
        </w:tblPrEx>
        <w:trPr>
          <w:trHeight w:val="567"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23</w:t>
            </w:r>
          </w:p>
        </w:tc>
        <w:tc>
          <w:tcPr>
            <w:tcW w:w="780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工作温度和湿度：-25℃~+60℃，93%，无冷凝</w:t>
            </w:r>
          </w:p>
        </w:tc>
      </w:tr>
    </w:tbl>
    <w:p>
      <w:pPr>
        <w:spacing w:line="360" w:lineRule="auto"/>
        <w:rPr>
          <w:rFonts w:ascii="仿宋" w:hAnsi="仿宋" w:eastAsia="仿宋" w:cs="Times New Roman"/>
          <w:szCs w:val="28"/>
          <w:lang w:bidi="ar"/>
        </w:rPr>
      </w:pPr>
    </w:p>
    <w:p>
      <w:pPr>
        <w:pStyle w:val="40"/>
        <w:pageBreakBefore/>
        <w:ind w:left="420" w:firstLine="0" w:firstLineChars="0"/>
        <w:jc w:val="center"/>
        <w:outlineLvl w:val="1"/>
        <w:rPr>
          <w:rFonts w:ascii="仿宋" w:hAnsi="仿宋" w:eastAsia="仿宋"/>
          <w:b/>
          <w:sz w:val="40"/>
          <w:szCs w:val="32"/>
        </w:rPr>
      </w:pPr>
      <w:bookmarkStart w:id="92" w:name="_Toc65847415"/>
      <w:bookmarkStart w:id="93" w:name="_Toc36482804"/>
      <w:bookmarkStart w:id="94" w:name="_Toc23002"/>
      <w:r>
        <w:rPr>
          <w:rFonts w:hint="eastAsia" w:ascii="仿宋" w:hAnsi="仿宋" w:eastAsia="仿宋"/>
          <w:b/>
          <w:sz w:val="40"/>
          <w:szCs w:val="32"/>
        </w:rPr>
        <w:t>第三章 设备清单</w:t>
      </w:r>
      <w:bookmarkEnd w:id="92"/>
    </w:p>
    <w:tbl>
      <w:tblPr>
        <w:tblStyle w:val="24"/>
        <w:tblW w:w="5000" w:type="pct"/>
        <w:tblInd w:w="0" w:type="dxa"/>
        <w:tblLayout w:type="autofit"/>
        <w:tblCellMar>
          <w:top w:w="0" w:type="dxa"/>
          <w:left w:w="108" w:type="dxa"/>
          <w:bottom w:w="0" w:type="dxa"/>
          <w:right w:w="108" w:type="dxa"/>
        </w:tblCellMar>
      </w:tblPr>
      <w:tblGrid>
        <w:gridCol w:w="907"/>
        <w:gridCol w:w="1631"/>
        <w:gridCol w:w="3416"/>
        <w:gridCol w:w="1016"/>
        <w:gridCol w:w="1194"/>
        <w:gridCol w:w="1124"/>
      </w:tblGrid>
      <w:tr>
        <w:tblPrEx>
          <w:tblCellMar>
            <w:top w:w="0" w:type="dxa"/>
            <w:left w:w="108" w:type="dxa"/>
            <w:bottom w:w="0" w:type="dxa"/>
            <w:right w:w="108" w:type="dxa"/>
          </w:tblCellMar>
        </w:tblPrEx>
        <w:trPr>
          <w:trHeight w:val="324" w:hRule="atLeast"/>
          <w:tblHeader/>
        </w:trPr>
        <w:tc>
          <w:tcPr>
            <w:tcW w:w="48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877"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设备名称</w:t>
            </w:r>
          </w:p>
        </w:tc>
        <w:tc>
          <w:tcPr>
            <w:tcW w:w="1839"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技术要求</w:t>
            </w:r>
          </w:p>
        </w:tc>
        <w:tc>
          <w:tcPr>
            <w:tcW w:w="547"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单位</w:t>
            </w:r>
          </w:p>
        </w:tc>
        <w:tc>
          <w:tcPr>
            <w:tcW w:w="643"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数量</w:t>
            </w:r>
          </w:p>
        </w:tc>
        <w:tc>
          <w:tcPr>
            <w:tcW w:w="606"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备注</w:t>
            </w:r>
          </w:p>
        </w:tc>
      </w:tr>
      <w:tr>
        <w:tblPrEx>
          <w:tblCellMar>
            <w:top w:w="0" w:type="dxa"/>
            <w:left w:w="108" w:type="dxa"/>
            <w:bottom w:w="0" w:type="dxa"/>
            <w:right w:w="108" w:type="dxa"/>
          </w:tblCellMar>
        </w:tblPrEx>
        <w:trPr>
          <w:trHeight w:val="324" w:hRule="atLeast"/>
        </w:trPr>
        <w:tc>
          <w:tcPr>
            <w:tcW w:w="1366"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一、增城院区</w:t>
            </w:r>
          </w:p>
        </w:tc>
        <w:tc>
          <w:tcPr>
            <w:tcW w:w="183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547"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64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606"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r>
      <w:tr>
        <w:tblPrEx>
          <w:tblCellMar>
            <w:top w:w="0" w:type="dxa"/>
            <w:left w:w="108" w:type="dxa"/>
            <w:bottom w:w="0" w:type="dxa"/>
            <w:right w:w="108" w:type="dxa"/>
          </w:tblCellMar>
        </w:tblPrEx>
        <w:trPr>
          <w:trHeight w:val="324" w:hRule="atLeast"/>
        </w:trPr>
        <w:tc>
          <w:tcPr>
            <w:tcW w:w="488"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877"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智能测温安检门</w:t>
            </w:r>
          </w:p>
        </w:tc>
        <w:tc>
          <w:tcPr>
            <w:tcW w:w="1839" w:type="pct"/>
            <w:tcBorders>
              <w:top w:val="nil"/>
              <w:left w:val="nil"/>
              <w:bottom w:val="single" w:color="auto" w:sz="4" w:space="0"/>
              <w:right w:val="single" w:color="auto" w:sz="4" w:space="0"/>
            </w:tcBorders>
            <w:shd w:val="clear" w:color="000000" w:fill="FFFFFF"/>
            <w:vAlign w:val="center"/>
          </w:tcPr>
          <w:p>
            <w:pPr>
              <w:widowControl/>
              <w:spacing w:after="240" w:line="360" w:lineRule="auto"/>
              <w:rPr>
                <w:rFonts w:ascii="仿宋" w:hAnsi="仿宋" w:eastAsia="仿宋" w:cs="宋体"/>
                <w:kern w:val="0"/>
                <w:sz w:val="24"/>
                <w:szCs w:val="24"/>
              </w:rPr>
            </w:pPr>
            <w:r>
              <w:rPr>
                <w:rFonts w:hint="eastAsia" w:ascii="仿宋" w:hAnsi="仿宋" w:eastAsia="仿宋" w:cs="宋体"/>
                <w:kern w:val="0"/>
                <w:sz w:val="24"/>
                <w:szCs w:val="24"/>
              </w:rPr>
              <w:t>详见：智能测温安检门设备指标要求。</w:t>
            </w:r>
          </w:p>
        </w:tc>
        <w:tc>
          <w:tcPr>
            <w:tcW w:w="547"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台</w:t>
            </w:r>
          </w:p>
        </w:tc>
        <w:tc>
          <w:tcPr>
            <w:tcW w:w="643"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ascii="仿宋" w:hAnsi="仿宋" w:eastAsia="仿宋" w:cs="宋体"/>
                <w:kern w:val="0"/>
                <w:sz w:val="24"/>
                <w:szCs w:val="24"/>
              </w:rPr>
              <w:t>3</w:t>
            </w:r>
          </w:p>
        </w:tc>
        <w:tc>
          <w:tcPr>
            <w:tcW w:w="606"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重要出入口</w:t>
            </w:r>
          </w:p>
        </w:tc>
      </w:tr>
      <w:tr>
        <w:tblPrEx>
          <w:tblCellMar>
            <w:top w:w="0" w:type="dxa"/>
            <w:left w:w="108" w:type="dxa"/>
            <w:bottom w:w="0" w:type="dxa"/>
            <w:right w:w="108" w:type="dxa"/>
          </w:tblCellMar>
        </w:tblPrEx>
        <w:trPr>
          <w:trHeight w:val="324" w:hRule="atLeast"/>
        </w:trPr>
        <w:tc>
          <w:tcPr>
            <w:tcW w:w="488"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877"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bookmarkStart w:id="95" w:name="_Hlk66268144"/>
            <w:r>
              <w:rPr>
                <w:rFonts w:hint="eastAsia" w:ascii="仿宋" w:hAnsi="仿宋" w:eastAsia="仿宋" w:cs="宋体"/>
                <w:kern w:val="0"/>
                <w:sz w:val="24"/>
                <w:szCs w:val="24"/>
              </w:rPr>
              <w:t>安检机</w:t>
            </w:r>
            <w:bookmarkEnd w:id="95"/>
          </w:p>
        </w:tc>
        <w:tc>
          <w:tcPr>
            <w:tcW w:w="1839" w:type="pct"/>
            <w:tcBorders>
              <w:top w:val="nil"/>
              <w:left w:val="nil"/>
              <w:bottom w:val="single" w:color="auto" w:sz="4" w:space="0"/>
              <w:right w:val="single" w:color="auto" w:sz="4" w:space="0"/>
            </w:tcBorders>
            <w:shd w:val="clear" w:color="000000" w:fill="FFFFFF"/>
            <w:vAlign w:val="center"/>
          </w:tcPr>
          <w:p>
            <w:pPr>
              <w:widowControl/>
              <w:spacing w:line="360" w:lineRule="auto"/>
              <w:rPr>
                <w:rFonts w:ascii="仿宋" w:hAnsi="仿宋" w:eastAsia="仿宋" w:cs="宋体"/>
                <w:kern w:val="0"/>
                <w:sz w:val="24"/>
                <w:szCs w:val="24"/>
              </w:rPr>
            </w:pPr>
            <w:r>
              <w:rPr>
                <w:rFonts w:hint="eastAsia" w:ascii="仿宋" w:hAnsi="仿宋" w:eastAsia="仿宋" w:cs="宋体"/>
                <w:kern w:val="0"/>
                <w:sz w:val="24"/>
                <w:szCs w:val="24"/>
              </w:rPr>
              <w:t>详见：安检机设备指标要求。</w:t>
            </w:r>
          </w:p>
        </w:tc>
        <w:tc>
          <w:tcPr>
            <w:tcW w:w="547"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台</w:t>
            </w:r>
          </w:p>
        </w:tc>
        <w:tc>
          <w:tcPr>
            <w:tcW w:w="643"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ascii="仿宋" w:hAnsi="仿宋" w:eastAsia="仿宋" w:cs="宋体"/>
                <w:kern w:val="0"/>
                <w:sz w:val="24"/>
                <w:szCs w:val="24"/>
              </w:rPr>
              <w:t>3</w:t>
            </w:r>
          </w:p>
        </w:tc>
        <w:tc>
          <w:tcPr>
            <w:tcW w:w="606" w:type="pct"/>
            <w:vMerge w:val="continue"/>
            <w:tcBorders>
              <w:top w:val="nil"/>
              <w:left w:val="single" w:color="auto" w:sz="4" w:space="0"/>
              <w:bottom w:val="single" w:color="000000" w:sz="4" w:space="0"/>
              <w:right w:val="single" w:color="auto" w:sz="4" w:space="0"/>
            </w:tcBorders>
            <w:vAlign w:val="center"/>
          </w:tcPr>
          <w:p>
            <w:pPr>
              <w:widowControl/>
              <w:spacing w:line="360" w:lineRule="auto"/>
              <w:jc w:val="left"/>
              <w:rPr>
                <w:rFonts w:ascii="仿宋" w:hAnsi="仿宋" w:eastAsia="仿宋" w:cs="宋体"/>
                <w:kern w:val="0"/>
                <w:sz w:val="24"/>
                <w:szCs w:val="24"/>
              </w:rPr>
            </w:pPr>
          </w:p>
        </w:tc>
      </w:tr>
      <w:tr>
        <w:tblPrEx>
          <w:tblCellMar>
            <w:top w:w="0" w:type="dxa"/>
            <w:left w:w="108" w:type="dxa"/>
            <w:bottom w:w="0" w:type="dxa"/>
            <w:right w:w="108" w:type="dxa"/>
          </w:tblCellMar>
        </w:tblPrEx>
        <w:trPr>
          <w:trHeight w:val="324" w:hRule="atLeast"/>
        </w:trPr>
        <w:tc>
          <w:tcPr>
            <w:tcW w:w="488"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877"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安装调试费</w:t>
            </w:r>
          </w:p>
        </w:tc>
        <w:tc>
          <w:tcPr>
            <w:tcW w:w="1839" w:type="pct"/>
            <w:tcBorders>
              <w:top w:val="nil"/>
              <w:left w:val="nil"/>
              <w:bottom w:val="single" w:color="auto" w:sz="4" w:space="0"/>
              <w:right w:val="single" w:color="auto" w:sz="4" w:space="0"/>
            </w:tcBorders>
            <w:shd w:val="clear" w:color="000000" w:fill="FFFFFF"/>
            <w:vAlign w:val="center"/>
          </w:tcPr>
          <w:p>
            <w:pPr>
              <w:widowControl/>
              <w:spacing w:line="360" w:lineRule="auto"/>
              <w:rPr>
                <w:rFonts w:ascii="仿宋" w:hAnsi="仿宋" w:eastAsia="仿宋" w:cs="宋体"/>
                <w:kern w:val="0"/>
                <w:sz w:val="24"/>
                <w:szCs w:val="24"/>
              </w:rPr>
            </w:pPr>
            <w:r>
              <w:rPr>
                <w:rFonts w:hint="eastAsia" w:ascii="仿宋" w:hAnsi="仿宋" w:eastAsia="仿宋" w:cs="宋体"/>
                <w:kern w:val="0"/>
                <w:sz w:val="24"/>
                <w:szCs w:val="24"/>
              </w:rPr>
              <w:t>设备安装调试、线路敷设及相关辅件</w:t>
            </w:r>
          </w:p>
        </w:tc>
        <w:tc>
          <w:tcPr>
            <w:tcW w:w="547"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项</w:t>
            </w:r>
          </w:p>
        </w:tc>
        <w:tc>
          <w:tcPr>
            <w:tcW w:w="643"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606" w:type="pct"/>
            <w:vMerge w:val="continue"/>
            <w:tcBorders>
              <w:top w:val="nil"/>
              <w:left w:val="single" w:color="auto" w:sz="4" w:space="0"/>
              <w:bottom w:val="single" w:color="000000" w:sz="4" w:space="0"/>
              <w:right w:val="single" w:color="auto" w:sz="4" w:space="0"/>
            </w:tcBorders>
            <w:vAlign w:val="center"/>
          </w:tcPr>
          <w:p>
            <w:pPr>
              <w:widowControl/>
              <w:spacing w:line="360" w:lineRule="auto"/>
              <w:jc w:val="left"/>
              <w:rPr>
                <w:rFonts w:ascii="仿宋" w:hAnsi="仿宋" w:eastAsia="仿宋" w:cs="宋体"/>
                <w:kern w:val="0"/>
                <w:sz w:val="24"/>
                <w:szCs w:val="24"/>
              </w:rPr>
            </w:pPr>
          </w:p>
        </w:tc>
      </w:tr>
      <w:bookmarkEnd w:id="93"/>
      <w:bookmarkEnd w:id="94"/>
    </w:tbl>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40"/>
        <w:pageBreakBefore/>
        <w:ind w:left="420" w:firstLine="0" w:firstLineChars="0"/>
        <w:jc w:val="center"/>
        <w:outlineLvl w:val="1"/>
        <w:rPr>
          <w:rFonts w:hint="eastAsia" w:ascii="仿宋" w:hAnsi="仿宋" w:eastAsia="仿宋"/>
          <w:b/>
          <w:sz w:val="40"/>
          <w:szCs w:val="32"/>
          <w:lang w:eastAsia="zh-CN"/>
        </w:rPr>
      </w:pPr>
      <w:r>
        <w:rPr>
          <w:rFonts w:hint="eastAsia" w:ascii="仿宋" w:hAnsi="仿宋" w:eastAsia="仿宋"/>
          <w:b/>
          <w:sz w:val="40"/>
          <w:szCs w:val="32"/>
        </w:rPr>
        <w:t>第</w:t>
      </w:r>
      <w:r>
        <w:rPr>
          <w:rFonts w:hint="eastAsia" w:ascii="仿宋" w:hAnsi="仿宋" w:eastAsia="仿宋"/>
          <w:b/>
          <w:sz w:val="40"/>
          <w:szCs w:val="32"/>
          <w:lang w:eastAsia="zh-CN"/>
        </w:rPr>
        <w:t>四</w:t>
      </w:r>
      <w:bookmarkStart w:id="96" w:name="_GoBack"/>
      <w:bookmarkEnd w:id="96"/>
      <w:r>
        <w:rPr>
          <w:rFonts w:hint="eastAsia" w:ascii="仿宋" w:hAnsi="仿宋" w:eastAsia="仿宋"/>
          <w:b/>
          <w:sz w:val="40"/>
          <w:szCs w:val="32"/>
        </w:rPr>
        <w:t>章 设备</w:t>
      </w:r>
      <w:r>
        <w:rPr>
          <w:rFonts w:hint="eastAsia" w:ascii="仿宋" w:hAnsi="仿宋" w:eastAsia="仿宋"/>
          <w:b/>
          <w:sz w:val="40"/>
          <w:szCs w:val="32"/>
          <w:lang w:eastAsia="zh-CN"/>
        </w:rPr>
        <w:t>报价</w:t>
      </w:r>
    </w:p>
    <w:tbl>
      <w:tblPr>
        <w:tblStyle w:val="24"/>
        <w:tblW w:w="5000" w:type="pct"/>
        <w:tblInd w:w="0" w:type="dxa"/>
        <w:tblLayout w:type="autofit"/>
        <w:tblCellMar>
          <w:top w:w="0" w:type="dxa"/>
          <w:left w:w="108" w:type="dxa"/>
          <w:bottom w:w="0" w:type="dxa"/>
          <w:right w:w="108" w:type="dxa"/>
        </w:tblCellMar>
      </w:tblPr>
      <w:tblGrid>
        <w:gridCol w:w="758"/>
        <w:gridCol w:w="1256"/>
        <w:gridCol w:w="2111"/>
        <w:gridCol w:w="890"/>
        <w:gridCol w:w="974"/>
        <w:gridCol w:w="853"/>
        <w:gridCol w:w="1031"/>
        <w:gridCol w:w="1415"/>
      </w:tblGrid>
      <w:tr>
        <w:tblPrEx>
          <w:tblCellMar>
            <w:top w:w="0" w:type="dxa"/>
            <w:left w:w="108" w:type="dxa"/>
            <w:bottom w:w="0" w:type="dxa"/>
            <w:right w:w="108" w:type="dxa"/>
          </w:tblCellMar>
        </w:tblPrEx>
        <w:trPr>
          <w:trHeight w:val="324" w:hRule="atLeast"/>
          <w:tblHeader/>
        </w:trPr>
        <w:tc>
          <w:tcPr>
            <w:tcW w:w="40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675"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设备名称</w:t>
            </w:r>
          </w:p>
        </w:tc>
        <w:tc>
          <w:tcPr>
            <w:tcW w:w="1136"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技术要求</w:t>
            </w:r>
          </w:p>
        </w:tc>
        <w:tc>
          <w:tcPr>
            <w:tcW w:w="478"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单位</w:t>
            </w:r>
          </w:p>
        </w:tc>
        <w:tc>
          <w:tcPr>
            <w:tcW w:w="524"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数量</w:t>
            </w:r>
          </w:p>
        </w:tc>
        <w:tc>
          <w:tcPr>
            <w:tcW w:w="45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单价</w:t>
            </w:r>
          </w:p>
        </w:tc>
        <w:tc>
          <w:tcPr>
            <w:tcW w:w="555"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总计</w:t>
            </w:r>
          </w:p>
        </w:tc>
        <w:tc>
          <w:tcPr>
            <w:tcW w:w="76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备注</w:t>
            </w:r>
          </w:p>
        </w:tc>
      </w:tr>
      <w:tr>
        <w:tblPrEx>
          <w:tblCellMar>
            <w:top w:w="0" w:type="dxa"/>
            <w:left w:w="108" w:type="dxa"/>
            <w:bottom w:w="0" w:type="dxa"/>
            <w:right w:w="108" w:type="dxa"/>
          </w:tblCellMar>
        </w:tblPrEx>
        <w:trPr>
          <w:trHeight w:val="324" w:hRule="atLeast"/>
        </w:trPr>
        <w:tc>
          <w:tcPr>
            <w:tcW w:w="1084"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一、增城院区</w:t>
            </w:r>
          </w:p>
        </w:tc>
        <w:tc>
          <w:tcPr>
            <w:tcW w:w="113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47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45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555"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left"/>
              <w:rPr>
                <w:rFonts w:ascii="仿宋" w:hAnsi="仿宋" w:eastAsia="仿宋" w:cs="宋体"/>
                <w:b/>
                <w:bCs/>
                <w:color w:val="000000"/>
                <w:kern w:val="0"/>
                <w:sz w:val="24"/>
                <w:szCs w:val="24"/>
              </w:rPr>
            </w:pPr>
          </w:p>
        </w:tc>
        <w:tc>
          <w:tcPr>
            <w:tcW w:w="761"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r>
      <w:tr>
        <w:tblPrEx>
          <w:tblCellMar>
            <w:top w:w="0" w:type="dxa"/>
            <w:left w:w="108" w:type="dxa"/>
            <w:bottom w:w="0" w:type="dxa"/>
            <w:right w:w="108" w:type="dxa"/>
          </w:tblCellMar>
        </w:tblPrEx>
        <w:trPr>
          <w:trHeight w:val="324" w:hRule="atLeast"/>
        </w:trPr>
        <w:tc>
          <w:tcPr>
            <w:tcW w:w="408"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675"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智能测温安检门</w:t>
            </w:r>
          </w:p>
        </w:tc>
        <w:tc>
          <w:tcPr>
            <w:tcW w:w="1136" w:type="pct"/>
            <w:tcBorders>
              <w:top w:val="nil"/>
              <w:left w:val="nil"/>
              <w:bottom w:val="single" w:color="auto" w:sz="4" w:space="0"/>
              <w:right w:val="single" w:color="auto" w:sz="4" w:space="0"/>
            </w:tcBorders>
            <w:shd w:val="clear" w:color="000000" w:fill="FFFFFF"/>
            <w:vAlign w:val="center"/>
          </w:tcPr>
          <w:p>
            <w:pPr>
              <w:widowControl/>
              <w:spacing w:after="240" w:line="360" w:lineRule="auto"/>
              <w:rPr>
                <w:rFonts w:ascii="仿宋" w:hAnsi="仿宋" w:eastAsia="仿宋" w:cs="宋体"/>
                <w:kern w:val="0"/>
                <w:sz w:val="24"/>
                <w:szCs w:val="24"/>
              </w:rPr>
            </w:pPr>
            <w:r>
              <w:rPr>
                <w:rFonts w:hint="eastAsia" w:ascii="仿宋" w:hAnsi="仿宋" w:eastAsia="仿宋" w:cs="宋体"/>
                <w:kern w:val="0"/>
                <w:sz w:val="24"/>
                <w:szCs w:val="24"/>
              </w:rPr>
              <w:t>详见：智能测温安检门设备指标要求。</w:t>
            </w:r>
          </w:p>
        </w:tc>
        <w:tc>
          <w:tcPr>
            <w:tcW w:w="478"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台</w:t>
            </w:r>
          </w:p>
        </w:tc>
        <w:tc>
          <w:tcPr>
            <w:tcW w:w="524"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ascii="仿宋" w:hAnsi="仿宋" w:eastAsia="仿宋" w:cs="宋体"/>
                <w:kern w:val="0"/>
                <w:sz w:val="24"/>
                <w:szCs w:val="24"/>
              </w:rPr>
              <w:t>3</w:t>
            </w:r>
          </w:p>
        </w:tc>
        <w:tc>
          <w:tcPr>
            <w:tcW w:w="459"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p>
        </w:tc>
        <w:tc>
          <w:tcPr>
            <w:tcW w:w="555"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p>
        </w:tc>
        <w:tc>
          <w:tcPr>
            <w:tcW w:w="76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重要出入口</w:t>
            </w:r>
          </w:p>
        </w:tc>
      </w:tr>
      <w:tr>
        <w:tblPrEx>
          <w:tblCellMar>
            <w:top w:w="0" w:type="dxa"/>
            <w:left w:w="108" w:type="dxa"/>
            <w:bottom w:w="0" w:type="dxa"/>
            <w:right w:w="108" w:type="dxa"/>
          </w:tblCellMar>
        </w:tblPrEx>
        <w:trPr>
          <w:trHeight w:val="324" w:hRule="atLeast"/>
        </w:trPr>
        <w:tc>
          <w:tcPr>
            <w:tcW w:w="408"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675"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安检机</w:t>
            </w:r>
          </w:p>
        </w:tc>
        <w:tc>
          <w:tcPr>
            <w:tcW w:w="1136" w:type="pct"/>
            <w:tcBorders>
              <w:top w:val="nil"/>
              <w:left w:val="nil"/>
              <w:bottom w:val="single" w:color="auto" w:sz="4" w:space="0"/>
              <w:right w:val="single" w:color="auto" w:sz="4" w:space="0"/>
            </w:tcBorders>
            <w:shd w:val="clear" w:color="000000" w:fill="FFFFFF"/>
            <w:vAlign w:val="center"/>
          </w:tcPr>
          <w:p>
            <w:pPr>
              <w:widowControl/>
              <w:spacing w:line="360" w:lineRule="auto"/>
              <w:rPr>
                <w:rFonts w:ascii="仿宋" w:hAnsi="仿宋" w:eastAsia="仿宋" w:cs="宋体"/>
                <w:kern w:val="0"/>
                <w:sz w:val="24"/>
                <w:szCs w:val="24"/>
              </w:rPr>
            </w:pPr>
            <w:r>
              <w:rPr>
                <w:rFonts w:hint="eastAsia" w:ascii="仿宋" w:hAnsi="仿宋" w:eastAsia="仿宋" w:cs="宋体"/>
                <w:kern w:val="0"/>
                <w:sz w:val="24"/>
                <w:szCs w:val="24"/>
              </w:rPr>
              <w:t>详见：安检机设备指标要求。</w:t>
            </w:r>
          </w:p>
        </w:tc>
        <w:tc>
          <w:tcPr>
            <w:tcW w:w="478"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台</w:t>
            </w:r>
          </w:p>
        </w:tc>
        <w:tc>
          <w:tcPr>
            <w:tcW w:w="524"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ascii="仿宋" w:hAnsi="仿宋" w:eastAsia="仿宋" w:cs="宋体"/>
                <w:kern w:val="0"/>
                <w:sz w:val="24"/>
                <w:szCs w:val="24"/>
              </w:rPr>
              <w:t>3</w:t>
            </w:r>
          </w:p>
        </w:tc>
        <w:tc>
          <w:tcPr>
            <w:tcW w:w="459"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p>
        </w:tc>
        <w:tc>
          <w:tcPr>
            <w:tcW w:w="555"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p>
        </w:tc>
        <w:tc>
          <w:tcPr>
            <w:tcW w:w="761" w:type="pct"/>
            <w:vMerge w:val="continue"/>
            <w:tcBorders>
              <w:top w:val="nil"/>
              <w:left w:val="single" w:color="auto" w:sz="4" w:space="0"/>
              <w:bottom w:val="single" w:color="000000" w:sz="4" w:space="0"/>
              <w:right w:val="single" w:color="auto" w:sz="4" w:space="0"/>
            </w:tcBorders>
            <w:vAlign w:val="center"/>
          </w:tcPr>
          <w:p>
            <w:pPr>
              <w:widowControl/>
              <w:spacing w:line="360" w:lineRule="auto"/>
              <w:jc w:val="left"/>
              <w:rPr>
                <w:rFonts w:ascii="仿宋" w:hAnsi="仿宋" w:eastAsia="仿宋" w:cs="宋体"/>
                <w:kern w:val="0"/>
                <w:sz w:val="24"/>
                <w:szCs w:val="24"/>
              </w:rPr>
            </w:pPr>
          </w:p>
        </w:tc>
      </w:tr>
      <w:tr>
        <w:tblPrEx>
          <w:tblCellMar>
            <w:top w:w="0" w:type="dxa"/>
            <w:left w:w="108" w:type="dxa"/>
            <w:bottom w:w="0" w:type="dxa"/>
            <w:right w:w="108" w:type="dxa"/>
          </w:tblCellMar>
        </w:tblPrEx>
        <w:trPr>
          <w:trHeight w:val="324" w:hRule="atLeast"/>
        </w:trPr>
        <w:tc>
          <w:tcPr>
            <w:tcW w:w="408"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675"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安装调试费</w:t>
            </w:r>
          </w:p>
        </w:tc>
        <w:tc>
          <w:tcPr>
            <w:tcW w:w="1136" w:type="pct"/>
            <w:tcBorders>
              <w:top w:val="nil"/>
              <w:left w:val="nil"/>
              <w:bottom w:val="single" w:color="auto" w:sz="4" w:space="0"/>
              <w:right w:val="single" w:color="auto" w:sz="4" w:space="0"/>
            </w:tcBorders>
            <w:shd w:val="clear" w:color="000000" w:fill="FFFFFF"/>
            <w:vAlign w:val="center"/>
          </w:tcPr>
          <w:p>
            <w:pPr>
              <w:widowControl/>
              <w:spacing w:line="360" w:lineRule="auto"/>
              <w:rPr>
                <w:rFonts w:ascii="仿宋" w:hAnsi="仿宋" w:eastAsia="仿宋" w:cs="宋体"/>
                <w:kern w:val="0"/>
                <w:sz w:val="24"/>
                <w:szCs w:val="24"/>
              </w:rPr>
            </w:pPr>
            <w:r>
              <w:rPr>
                <w:rFonts w:hint="eastAsia" w:ascii="仿宋" w:hAnsi="仿宋" w:eastAsia="仿宋" w:cs="宋体"/>
                <w:kern w:val="0"/>
                <w:sz w:val="24"/>
                <w:szCs w:val="24"/>
              </w:rPr>
              <w:t>设备安装调试、线路敷设及相关辅件</w:t>
            </w:r>
          </w:p>
        </w:tc>
        <w:tc>
          <w:tcPr>
            <w:tcW w:w="478"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项</w:t>
            </w:r>
          </w:p>
        </w:tc>
        <w:tc>
          <w:tcPr>
            <w:tcW w:w="524" w:type="pct"/>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459"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szCs w:val="24"/>
              </w:rPr>
            </w:pPr>
          </w:p>
        </w:tc>
        <w:tc>
          <w:tcPr>
            <w:tcW w:w="555" w:type="pct"/>
            <w:tcBorders>
              <w:top w:val="nil"/>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szCs w:val="24"/>
              </w:rPr>
            </w:pPr>
          </w:p>
        </w:tc>
        <w:tc>
          <w:tcPr>
            <w:tcW w:w="761" w:type="pct"/>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szCs w:val="24"/>
              </w:rPr>
            </w:pPr>
          </w:p>
        </w:tc>
      </w:tr>
      <w:tr>
        <w:tblPrEx>
          <w:tblCellMar>
            <w:top w:w="0" w:type="dxa"/>
            <w:left w:w="108" w:type="dxa"/>
            <w:bottom w:w="0" w:type="dxa"/>
            <w:right w:w="108" w:type="dxa"/>
          </w:tblCellMar>
        </w:tblPrEx>
        <w:trPr>
          <w:trHeight w:val="324" w:hRule="atLeast"/>
        </w:trPr>
        <w:tc>
          <w:tcPr>
            <w:tcW w:w="2699" w:type="pct"/>
            <w:gridSpan w:val="4"/>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t>总计：</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szCs w:val="24"/>
              </w:rPr>
            </w:pPr>
          </w:p>
        </w:tc>
        <w:tc>
          <w:tcPr>
            <w:tcW w:w="45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szCs w:val="24"/>
              </w:rPr>
            </w:pPr>
          </w:p>
        </w:tc>
        <w:tc>
          <w:tcPr>
            <w:tcW w:w="555"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hint="eastAsia" w:ascii="仿宋" w:hAnsi="仿宋" w:eastAsia="仿宋" w:cs="宋体"/>
                <w:kern w:val="0"/>
                <w:sz w:val="24"/>
                <w:szCs w:val="24"/>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宋体"/>
                <w:kern w:val="0"/>
                <w:sz w:val="24"/>
                <w:szCs w:val="24"/>
              </w:rPr>
            </w:pPr>
          </w:p>
        </w:tc>
      </w:tr>
    </w:tbl>
    <w:p>
      <w:pPr>
        <w:rPr>
          <w:rFonts w:ascii="仿宋" w:hAnsi="仿宋" w:eastAsia="仿宋"/>
        </w:rPr>
      </w:pPr>
    </w:p>
    <w:sectPr>
      <w:footerReference r:id="rId3" w:type="default"/>
      <w:pgSz w:w="11906" w:h="16838"/>
      <w:pgMar w:top="1440" w:right="1274" w:bottom="1440" w:left="1560" w:header="851" w:footer="992" w:gutter="0"/>
      <w:pgNumType w:start="0"/>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golian Baiti">
    <w:panose1 w:val="03000500000000000000"/>
    <w:charset w:val="00"/>
    <w:family w:val="script"/>
    <w:pitch w:val="default"/>
    <w:sig w:usb0="80000023" w:usb1="00000000" w:usb2="0002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长城仿宋">
    <w:altName w:val="微软雅黑"/>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4001582"/>
      <w:docPartObj>
        <w:docPartGallery w:val="autotext"/>
      </w:docPartObj>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34C0A"/>
    <w:multiLevelType w:val="multilevel"/>
    <w:tmpl w:val="02F34C0A"/>
    <w:lvl w:ilvl="0" w:tentative="0">
      <w:start w:val="1"/>
      <w:numFmt w:val="decimal"/>
      <w:lvlText w:val="%1"/>
      <w:lvlJc w:val="left"/>
      <w:pPr>
        <w:ind w:left="400" w:hanging="400"/>
      </w:pPr>
      <w:rPr>
        <w:rFonts w:hint="default"/>
      </w:rPr>
    </w:lvl>
    <w:lvl w:ilvl="1" w:tentative="0">
      <w:start w:val="1"/>
      <w:numFmt w:val="decimal"/>
      <w:lvlText w:val="%1.%2"/>
      <w:lvlJc w:val="left"/>
      <w:pPr>
        <w:ind w:left="862" w:hanging="720"/>
      </w:pPr>
      <w:rPr>
        <w:rFonts w:hint="default"/>
      </w:rPr>
    </w:lvl>
    <w:lvl w:ilvl="2" w:tentative="0">
      <w:start w:val="1"/>
      <w:numFmt w:val="decimal"/>
      <w:lvlText w:val="%1.%2.%3"/>
      <w:lvlJc w:val="left"/>
      <w:pPr>
        <w:ind w:left="862" w:hanging="720"/>
      </w:pPr>
      <w:rPr>
        <w:rFonts w:hint="default"/>
      </w:rPr>
    </w:lvl>
    <w:lvl w:ilvl="3" w:tentative="0">
      <w:start w:val="1"/>
      <w:numFmt w:val="decimal"/>
      <w:lvlText w:val="%1.%2.%3.%4"/>
      <w:lvlJc w:val="left"/>
      <w:pPr>
        <w:ind w:left="1222" w:hanging="1080"/>
      </w:pPr>
      <w:rPr>
        <w:rFonts w:hint="default"/>
      </w:rPr>
    </w:lvl>
    <w:lvl w:ilvl="4" w:tentative="0">
      <w:start w:val="1"/>
      <w:numFmt w:val="decimal"/>
      <w:lvlText w:val="%1.%2.%3.%4.%5"/>
      <w:lvlJc w:val="left"/>
      <w:pPr>
        <w:ind w:left="3028" w:hanging="1440"/>
      </w:pPr>
      <w:rPr>
        <w:rFonts w:hint="default"/>
      </w:rPr>
    </w:lvl>
    <w:lvl w:ilvl="5" w:tentative="0">
      <w:start w:val="1"/>
      <w:numFmt w:val="decimal"/>
      <w:lvlText w:val="%1.%2.%3.%4.%5.%6"/>
      <w:lvlJc w:val="left"/>
      <w:pPr>
        <w:ind w:left="3425" w:hanging="1440"/>
      </w:pPr>
      <w:rPr>
        <w:rFonts w:hint="default"/>
      </w:rPr>
    </w:lvl>
    <w:lvl w:ilvl="6" w:tentative="0">
      <w:start w:val="1"/>
      <w:numFmt w:val="decimal"/>
      <w:lvlText w:val="%1.%2.%3.%4.%5.%6.%7"/>
      <w:lvlJc w:val="left"/>
      <w:pPr>
        <w:ind w:left="4182" w:hanging="1800"/>
      </w:pPr>
      <w:rPr>
        <w:rFonts w:hint="default"/>
      </w:rPr>
    </w:lvl>
    <w:lvl w:ilvl="7" w:tentative="0">
      <w:start w:val="1"/>
      <w:numFmt w:val="decimal"/>
      <w:lvlText w:val="%1.%2.%3.%4.%5.%6.%7.%8"/>
      <w:lvlJc w:val="left"/>
      <w:pPr>
        <w:ind w:left="4939" w:hanging="2160"/>
      </w:pPr>
      <w:rPr>
        <w:rFonts w:hint="default"/>
      </w:rPr>
    </w:lvl>
    <w:lvl w:ilvl="8" w:tentative="0">
      <w:start w:val="1"/>
      <w:numFmt w:val="decimal"/>
      <w:lvlText w:val="%1.%2.%3.%4.%5.%6.%7.%8.%9"/>
      <w:lvlJc w:val="left"/>
      <w:pPr>
        <w:ind w:left="5696" w:hanging="2520"/>
      </w:pPr>
      <w:rPr>
        <w:rFonts w:hint="default"/>
      </w:rPr>
    </w:lvl>
  </w:abstractNum>
  <w:abstractNum w:abstractNumId="1">
    <w:nsid w:val="2725682E"/>
    <w:multiLevelType w:val="multilevel"/>
    <w:tmpl w:val="2725682E"/>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60FEFF90"/>
    <w:multiLevelType w:val="multilevel"/>
    <w:tmpl w:val="60FEFF90"/>
    <w:lvl w:ilvl="0" w:tentative="0">
      <w:start w:val="1"/>
      <w:numFmt w:val="decimal"/>
      <w:pStyle w:val="48"/>
      <w:lvlText w:val="%1)"/>
      <w:lvlJc w:val="left"/>
      <w:pPr>
        <w:ind w:left="420" w:firstLine="0"/>
      </w:pPr>
      <w:rPr>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519"/>
    <w:rsid w:val="00024686"/>
    <w:rsid w:val="00024C49"/>
    <w:rsid w:val="00094EEA"/>
    <w:rsid w:val="000B18CB"/>
    <w:rsid w:val="00131B06"/>
    <w:rsid w:val="00162A1F"/>
    <w:rsid w:val="00164C27"/>
    <w:rsid w:val="00194F37"/>
    <w:rsid w:val="001A7519"/>
    <w:rsid w:val="001D2005"/>
    <w:rsid w:val="001D364C"/>
    <w:rsid w:val="001E3226"/>
    <w:rsid w:val="001F72F3"/>
    <w:rsid w:val="00205D24"/>
    <w:rsid w:val="002618CF"/>
    <w:rsid w:val="00282B59"/>
    <w:rsid w:val="002E134A"/>
    <w:rsid w:val="00324DE0"/>
    <w:rsid w:val="00386DBC"/>
    <w:rsid w:val="003D0279"/>
    <w:rsid w:val="003D1ACE"/>
    <w:rsid w:val="00472512"/>
    <w:rsid w:val="004B129F"/>
    <w:rsid w:val="004D3A35"/>
    <w:rsid w:val="004D5F12"/>
    <w:rsid w:val="00522377"/>
    <w:rsid w:val="005939F0"/>
    <w:rsid w:val="005C66A2"/>
    <w:rsid w:val="006256CA"/>
    <w:rsid w:val="0062615E"/>
    <w:rsid w:val="00652603"/>
    <w:rsid w:val="006532A0"/>
    <w:rsid w:val="00684706"/>
    <w:rsid w:val="006F421D"/>
    <w:rsid w:val="006F452C"/>
    <w:rsid w:val="00701446"/>
    <w:rsid w:val="00706B35"/>
    <w:rsid w:val="00706B5D"/>
    <w:rsid w:val="0071031E"/>
    <w:rsid w:val="00713685"/>
    <w:rsid w:val="00754BB3"/>
    <w:rsid w:val="007775E8"/>
    <w:rsid w:val="00795282"/>
    <w:rsid w:val="007A056C"/>
    <w:rsid w:val="007C32A0"/>
    <w:rsid w:val="007C412F"/>
    <w:rsid w:val="00834C27"/>
    <w:rsid w:val="00837A12"/>
    <w:rsid w:val="0084521D"/>
    <w:rsid w:val="00857E33"/>
    <w:rsid w:val="00860E8B"/>
    <w:rsid w:val="00862874"/>
    <w:rsid w:val="008704B4"/>
    <w:rsid w:val="00882619"/>
    <w:rsid w:val="00893EEE"/>
    <w:rsid w:val="008B5F76"/>
    <w:rsid w:val="00966ACF"/>
    <w:rsid w:val="00987182"/>
    <w:rsid w:val="009876A5"/>
    <w:rsid w:val="009B7486"/>
    <w:rsid w:val="009C57B0"/>
    <w:rsid w:val="009C7FC5"/>
    <w:rsid w:val="009F6206"/>
    <w:rsid w:val="009F6CD9"/>
    <w:rsid w:val="00A4051E"/>
    <w:rsid w:val="00A57D4C"/>
    <w:rsid w:val="00B817D0"/>
    <w:rsid w:val="00B940BE"/>
    <w:rsid w:val="00BA134A"/>
    <w:rsid w:val="00BC3E03"/>
    <w:rsid w:val="00C27BD1"/>
    <w:rsid w:val="00C40778"/>
    <w:rsid w:val="00C4464E"/>
    <w:rsid w:val="00C544CE"/>
    <w:rsid w:val="00C56987"/>
    <w:rsid w:val="00C84F6D"/>
    <w:rsid w:val="00C9049F"/>
    <w:rsid w:val="00CD5B39"/>
    <w:rsid w:val="00CD7B02"/>
    <w:rsid w:val="00D01A60"/>
    <w:rsid w:val="00D31F4D"/>
    <w:rsid w:val="00D76165"/>
    <w:rsid w:val="00D91F02"/>
    <w:rsid w:val="00D94401"/>
    <w:rsid w:val="00DA0939"/>
    <w:rsid w:val="00DF2853"/>
    <w:rsid w:val="00DF4FC2"/>
    <w:rsid w:val="00E0727E"/>
    <w:rsid w:val="00E24D9F"/>
    <w:rsid w:val="00EA32CA"/>
    <w:rsid w:val="00EA58C0"/>
    <w:rsid w:val="00EB50E6"/>
    <w:rsid w:val="00EC1F40"/>
    <w:rsid w:val="00F31151"/>
    <w:rsid w:val="00FA5066"/>
    <w:rsid w:val="03980D31"/>
    <w:rsid w:val="235045C5"/>
    <w:rsid w:val="6B397A89"/>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qFormat="1" w:uiPriority="39" w:semiHidden="0" w:name="toc 8"/>
    <w:lsdException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8"/>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widowControl/>
      <w:spacing w:before="260" w:after="260" w:line="415" w:lineRule="auto"/>
      <w:jc w:val="left"/>
      <w:outlineLvl w:val="1"/>
    </w:pPr>
    <w:rPr>
      <w:rFonts w:asciiTheme="majorHAnsi" w:hAnsiTheme="majorHAnsi" w:cstheme="majorBidi"/>
      <w:b/>
      <w:bCs/>
      <w:sz w:val="30"/>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36"/>
    <w:unhideWhenUsed/>
    <w:qFormat/>
    <w:uiPriority w:val="9"/>
    <w:pPr>
      <w:keepNext/>
      <w:keepLines/>
      <w:spacing w:before="280" w:after="290" w:line="376" w:lineRule="auto"/>
      <w:outlineLvl w:val="4"/>
    </w:pPr>
    <w:rPr>
      <w:b/>
      <w:bCs/>
      <w:szCs w:val="28"/>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uiPriority w:val="39"/>
    <w:pPr>
      <w:ind w:left="1680"/>
      <w:jc w:val="left"/>
    </w:pPr>
    <w:rPr>
      <w:rFonts w:eastAsiaTheme="minorHAnsi"/>
      <w:sz w:val="18"/>
      <w:szCs w:val="18"/>
    </w:rPr>
  </w:style>
  <w:style w:type="paragraph" w:styleId="8">
    <w:name w:val="Normal Indent"/>
    <w:basedOn w:val="1"/>
    <w:link w:val="59"/>
    <w:qFormat/>
    <w:uiPriority w:val="0"/>
    <w:pPr>
      <w:ind w:firstLine="420"/>
    </w:pPr>
    <w:rPr>
      <w:sz w:val="21"/>
    </w:rPr>
  </w:style>
  <w:style w:type="paragraph" w:styleId="9">
    <w:name w:val="caption"/>
    <w:basedOn w:val="1"/>
    <w:next w:val="1"/>
    <w:link w:val="52"/>
    <w:unhideWhenUsed/>
    <w:qFormat/>
    <w:uiPriority w:val="35"/>
    <w:pPr>
      <w:widowControl/>
      <w:jc w:val="center"/>
    </w:pPr>
    <w:rPr>
      <w:rFonts w:ascii="Arial Unicode MS" w:hAnsi="Arial Unicode MS" w:cs="Times New Roman"/>
      <w:szCs w:val="21"/>
    </w:rPr>
  </w:style>
  <w:style w:type="paragraph" w:styleId="10">
    <w:name w:val="annotation text"/>
    <w:basedOn w:val="1"/>
    <w:link w:val="37"/>
    <w:semiHidden/>
    <w:unhideWhenUsed/>
    <w:qFormat/>
    <w:uiPriority w:val="99"/>
    <w:pPr>
      <w:jc w:val="left"/>
    </w:pPr>
  </w:style>
  <w:style w:type="paragraph" w:styleId="11">
    <w:name w:val="toc 5"/>
    <w:basedOn w:val="1"/>
    <w:next w:val="1"/>
    <w:unhideWhenUsed/>
    <w:uiPriority w:val="39"/>
    <w:pPr>
      <w:ind w:left="1120"/>
      <w:jc w:val="left"/>
    </w:pPr>
    <w:rPr>
      <w:rFonts w:eastAsiaTheme="minorHAnsi"/>
      <w:sz w:val="18"/>
      <w:szCs w:val="18"/>
    </w:rPr>
  </w:style>
  <w:style w:type="paragraph" w:styleId="12">
    <w:name w:val="toc 3"/>
    <w:basedOn w:val="1"/>
    <w:next w:val="1"/>
    <w:unhideWhenUsed/>
    <w:qFormat/>
    <w:uiPriority w:val="39"/>
    <w:pPr>
      <w:ind w:left="560"/>
      <w:jc w:val="left"/>
    </w:pPr>
    <w:rPr>
      <w:rFonts w:eastAsiaTheme="minorHAnsi"/>
      <w:i/>
      <w:iCs/>
      <w:sz w:val="20"/>
      <w:szCs w:val="20"/>
    </w:rPr>
  </w:style>
  <w:style w:type="paragraph" w:styleId="13">
    <w:name w:val="toc 8"/>
    <w:basedOn w:val="1"/>
    <w:next w:val="1"/>
    <w:unhideWhenUsed/>
    <w:qFormat/>
    <w:uiPriority w:val="39"/>
    <w:pPr>
      <w:ind w:left="1960"/>
      <w:jc w:val="left"/>
    </w:pPr>
    <w:rPr>
      <w:rFonts w:eastAsiaTheme="minorHAnsi"/>
      <w:sz w:val="18"/>
      <w:szCs w:val="18"/>
    </w:rPr>
  </w:style>
  <w:style w:type="paragraph" w:styleId="14">
    <w:name w:val="Balloon Text"/>
    <w:basedOn w:val="1"/>
    <w:link w:val="38"/>
    <w:semiHidden/>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after="120"/>
      <w:jc w:val="left"/>
    </w:pPr>
    <w:rPr>
      <w:rFonts w:eastAsiaTheme="minorHAnsi"/>
      <w:b/>
      <w:bCs/>
      <w:caps/>
      <w:sz w:val="20"/>
      <w:szCs w:val="20"/>
    </w:rPr>
  </w:style>
  <w:style w:type="paragraph" w:styleId="18">
    <w:name w:val="toc 4"/>
    <w:basedOn w:val="1"/>
    <w:next w:val="1"/>
    <w:unhideWhenUsed/>
    <w:uiPriority w:val="39"/>
    <w:pPr>
      <w:ind w:left="840"/>
      <w:jc w:val="left"/>
    </w:pPr>
    <w:rPr>
      <w:rFonts w:eastAsiaTheme="minorHAnsi"/>
      <w:sz w:val="18"/>
      <w:szCs w:val="18"/>
    </w:rPr>
  </w:style>
  <w:style w:type="paragraph" w:styleId="19">
    <w:name w:val="toc 6"/>
    <w:basedOn w:val="1"/>
    <w:next w:val="1"/>
    <w:unhideWhenUsed/>
    <w:uiPriority w:val="39"/>
    <w:pPr>
      <w:ind w:left="1400"/>
      <w:jc w:val="left"/>
    </w:pPr>
    <w:rPr>
      <w:rFonts w:eastAsiaTheme="minorHAnsi"/>
      <w:sz w:val="18"/>
      <w:szCs w:val="18"/>
    </w:rPr>
  </w:style>
  <w:style w:type="paragraph" w:styleId="20">
    <w:name w:val="toc 2"/>
    <w:basedOn w:val="1"/>
    <w:next w:val="1"/>
    <w:unhideWhenUsed/>
    <w:uiPriority w:val="39"/>
    <w:pPr>
      <w:ind w:left="280"/>
      <w:jc w:val="left"/>
    </w:pPr>
    <w:rPr>
      <w:rFonts w:eastAsiaTheme="minorHAnsi"/>
      <w:smallCaps/>
      <w:sz w:val="20"/>
      <w:szCs w:val="20"/>
    </w:rPr>
  </w:style>
  <w:style w:type="paragraph" w:styleId="21">
    <w:name w:val="toc 9"/>
    <w:basedOn w:val="1"/>
    <w:next w:val="1"/>
    <w:unhideWhenUsed/>
    <w:uiPriority w:val="39"/>
    <w:pPr>
      <w:ind w:left="2240"/>
      <w:jc w:val="left"/>
    </w:pPr>
    <w:rPr>
      <w:rFonts w:eastAsiaTheme="minorHAnsi"/>
      <w:sz w:val="18"/>
      <w:szCs w:val="18"/>
    </w:rPr>
  </w:style>
  <w:style w:type="paragraph" w:styleId="22">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10"/>
    <w:next w:val="10"/>
    <w:link w:val="39"/>
    <w:semiHidden/>
    <w:unhideWhenUsed/>
    <w:uiPriority w:val="99"/>
    <w:rPr>
      <w:b/>
      <w:bCs/>
    </w:rPr>
  </w:style>
  <w:style w:type="table" w:styleId="25">
    <w:name w:val="Table Grid"/>
    <w:basedOn w:val="24"/>
    <w:qFormat/>
    <w:uiPriority w:val="0"/>
    <w:pPr>
      <w:widowControl w:val="0"/>
      <w:spacing w:beforeLines="50" w:afterLines="50"/>
      <w:jc w:val="both"/>
    </w:pPr>
    <w:rPr>
      <w:rFonts w:ascii="Arial" w:hAnsi="Arial" w:eastAsia="宋体" w:cs="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rFonts w:hint="default" w:ascii="Verdana" w:hAnsi="Verdana" w:eastAsia="宋体" w:cs="Verdana"/>
      <w:b/>
      <w:sz w:val="28"/>
      <w:szCs w:val="28"/>
      <w:lang w:val="en-US" w:eastAsia="en-US" w:bidi="ar"/>
    </w:rPr>
  </w:style>
  <w:style w:type="character" w:styleId="28">
    <w:name w:val="Hyperlink"/>
    <w:basedOn w:val="26"/>
    <w:unhideWhenUsed/>
    <w:qFormat/>
    <w:uiPriority w:val="99"/>
    <w:rPr>
      <w:color w:val="0000FF"/>
      <w:u w:val="single"/>
    </w:rPr>
  </w:style>
  <w:style w:type="character" w:styleId="29">
    <w:name w:val="annotation reference"/>
    <w:basedOn w:val="26"/>
    <w:semiHidden/>
    <w:unhideWhenUsed/>
    <w:uiPriority w:val="99"/>
    <w:rPr>
      <w:sz w:val="21"/>
      <w:szCs w:val="21"/>
    </w:rPr>
  </w:style>
  <w:style w:type="character" w:customStyle="1" w:styleId="30">
    <w:name w:val="页眉 字符"/>
    <w:basedOn w:val="26"/>
    <w:link w:val="16"/>
    <w:qFormat/>
    <w:uiPriority w:val="99"/>
    <w:rPr>
      <w:sz w:val="18"/>
      <w:szCs w:val="18"/>
    </w:rPr>
  </w:style>
  <w:style w:type="character" w:customStyle="1" w:styleId="31">
    <w:name w:val="页脚 字符"/>
    <w:basedOn w:val="26"/>
    <w:link w:val="15"/>
    <w:uiPriority w:val="99"/>
    <w:rPr>
      <w:sz w:val="18"/>
      <w:szCs w:val="18"/>
    </w:rPr>
  </w:style>
  <w:style w:type="character" w:customStyle="1" w:styleId="32">
    <w:name w:val="标题 1 字符"/>
    <w:basedOn w:val="26"/>
    <w:link w:val="2"/>
    <w:qFormat/>
    <w:uiPriority w:val="9"/>
    <w:rPr>
      <w:rFonts w:eastAsia="宋体"/>
      <w:b/>
      <w:bCs/>
      <w:kern w:val="44"/>
      <w:sz w:val="44"/>
      <w:szCs w:val="44"/>
    </w:rPr>
  </w:style>
  <w:style w:type="character" w:customStyle="1" w:styleId="33">
    <w:name w:val="标题 2 字符"/>
    <w:basedOn w:val="26"/>
    <w:link w:val="3"/>
    <w:qFormat/>
    <w:uiPriority w:val="9"/>
    <w:rPr>
      <w:rFonts w:eastAsia="宋体" w:asciiTheme="majorHAnsi" w:hAnsiTheme="majorHAnsi" w:cstheme="majorBidi"/>
      <w:b/>
      <w:bCs/>
      <w:sz w:val="30"/>
      <w:szCs w:val="32"/>
    </w:rPr>
  </w:style>
  <w:style w:type="character" w:customStyle="1" w:styleId="34">
    <w:name w:val="标题 3 字符"/>
    <w:basedOn w:val="26"/>
    <w:link w:val="4"/>
    <w:qFormat/>
    <w:uiPriority w:val="9"/>
    <w:rPr>
      <w:rFonts w:eastAsia="宋体"/>
      <w:b/>
      <w:bCs/>
      <w:sz w:val="32"/>
      <w:szCs w:val="32"/>
    </w:rPr>
  </w:style>
  <w:style w:type="character" w:customStyle="1" w:styleId="35">
    <w:name w:val="标题 4 字符"/>
    <w:basedOn w:val="26"/>
    <w:link w:val="5"/>
    <w:qFormat/>
    <w:uiPriority w:val="9"/>
    <w:rPr>
      <w:rFonts w:asciiTheme="majorHAnsi" w:hAnsiTheme="majorHAnsi" w:eastAsiaTheme="majorEastAsia" w:cstheme="majorBidi"/>
      <w:b/>
      <w:bCs/>
      <w:sz w:val="28"/>
      <w:szCs w:val="28"/>
    </w:rPr>
  </w:style>
  <w:style w:type="character" w:customStyle="1" w:styleId="36">
    <w:name w:val="标题 5 字符"/>
    <w:basedOn w:val="26"/>
    <w:link w:val="6"/>
    <w:qFormat/>
    <w:uiPriority w:val="9"/>
    <w:rPr>
      <w:rFonts w:eastAsia="宋体"/>
      <w:b/>
      <w:bCs/>
      <w:sz w:val="28"/>
      <w:szCs w:val="28"/>
    </w:rPr>
  </w:style>
  <w:style w:type="character" w:customStyle="1" w:styleId="37">
    <w:name w:val="批注文字 字符"/>
    <w:basedOn w:val="26"/>
    <w:link w:val="10"/>
    <w:semiHidden/>
    <w:qFormat/>
    <w:uiPriority w:val="99"/>
    <w:rPr>
      <w:rFonts w:eastAsia="宋体"/>
      <w:sz w:val="28"/>
    </w:rPr>
  </w:style>
  <w:style w:type="character" w:customStyle="1" w:styleId="38">
    <w:name w:val="批注框文本 字符"/>
    <w:basedOn w:val="26"/>
    <w:link w:val="14"/>
    <w:semiHidden/>
    <w:qFormat/>
    <w:uiPriority w:val="99"/>
    <w:rPr>
      <w:rFonts w:eastAsia="宋体"/>
      <w:sz w:val="18"/>
      <w:szCs w:val="18"/>
    </w:rPr>
  </w:style>
  <w:style w:type="character" w:customStyle="1" w:styleId="39">
    <w:name w:val="批注主题 字符"/>
    <w:basedOn w:val="37"/>
    <w:link w:val="23"/>
    <w:semiHidden/>
    <w:qFormat/>
    <w:uiPriority w:val="99"/>
    <w:rPr>
      <w:rFonts w:eastAsia="宋体"/>
      <w:b/>
      <w:bCs/>
      <w:sz w:val="28"/>
    </w:rPr>
  </w:style>
  <w:style w:type="paragraph" w:styleId="40">
    <w:name w:val="List Paragraph"/>
    <w:basedOn w:val="1"/>
    <w:link w:val="56"/>
    <w:qFormat/>
    <w:uiPriority w:val="34"/>
    <w:pPr>
      <w:ind w:firstLine="420" w:firstLineChars="200"/>
    </w:pPr>
  </w:style>
  <w:style w:type="paragraph" w:customStyle="1" w:styleId="41">
    <w:name w:val="封面标题"/>
    <w:basedOn w:val="1"/>
    <w:link w:val="42"/>
    <w:qFormat/>
    <w:uiPriority w:val="0"/>
    <w:pPr>
      <w:widowControl/>
      <w:spacing w:line="480" w:lineRule="auto"/>
      <w:ind w:firstLine="480" w:firstLineChars="200"/>
      <w:jc w:val="center"/>
    </w:pPr>
    <w:rPr>
      <w:rFonts w:ascii="宋体" w:hAnsi="宋体" w:cs="Times New Roman"/>
      <w:b/>
      <w:sz w:val="48"/>
      <w:szCs w:val="36"/>
    </w:rPr>
  </w:style>
  <w:style w:type="character" w:customStyle="1" w:styleId="42">
    <w:name w:val="封面标题 字符"/>
    <w:basedOn w:val="26"/>
    <w:link w:val="41"/>
    <w:qFormat/>
    <w:uiPriority w:val="0"/>
    <w:rPr>
      <w:rFonts w:ascii="宋体" w:hAnsi="宋体" w:eastAsia="宋体" w:cs="Times New Roman"/>
      <w:b/>
      <w:sz w:val="48"/>
      <w:szCs w:val="36"/>
    </w:rPr>
  </w:style>
  <w:style w:type="paragraph" w:customStyle="1" w:styleId="43">
    <w:name w:val="封面日期"/>
    <w:basedOn w:val="41"/>
    <w:link w:val="44"/>
    <w:qFormat/>
    <w:uiPriority w:val="0"/>
    <w:rPr>
      <w:sz w:val="28"/>
      <w:szCs w:val="28"/>
    </w:rPr>
  </w:style>
  <w:style w:type="character" w:customStyle="1" w:styleId="44">
    <w:name w:val="封面日期 字符"/>
    <w:basedOn w:val="42"/>
    <w:link w:val="43"/>
    <w:qFormat/>
    <w:uiPriority w:val="0"/>
    <w:rPr>
      <w:rFonts w:ascii="宋体" w:hAnsi="宋体" w:eastAsia="宋体" w:cs="Times New Roman"/>
      <w:sz w:val="28"/>
      <w:szCs w:val="28"/>
    </w:rPr>
  </w:style>
  <w:style w:type="paragraph" w:customStyle="1" w:styleId="4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7">
    <w:name w:val="Revision"/>
    <w:hidden/>
    <w:semiHidden/>
    <w:uiPriority w:val="99"/>
    <w:rPr>
      <w:rFonts w:asciiTheme="minorHAnsi" w:hAnsiTheme="minorHAnsi" w:eastAsiaTheme="minorEastAsia" w:cstheme="minorBidi"/>
      <w:kern w:val="2"/>
      <w:sz w:val="21"/>
      <w:szCs w:val="22"/>
      <w:lang w:val="en-US" w:eastAsia="zh-CN" w:bidi="ar-SA"/>
    </w:rPr>
  </w:style>
  <w:style w:type="paragraph" w:customStyle="1" w:styleId="48">
    <w:name w:val="编号，小四"/>
    <w:basedOn w:val="1"/>
    <w:link w:val="49"/>
    <w:uiPriority w:val="0"/>
    <w:pPr>
      <w:numPr>
        <w:ilvl w:val="0"/>
        <w:numId w:val="1"/>
      </w:numPr>
      <w:spacing w:line="360" w:lineRule="auto"/>
    </w:pPr>
    <w:rPr>
      <w:rFonts w:ascii="Arial" w:hAnsi="Arial" w:cs="Times New Roman"/>
      <w:sz w:val="24"/>
      <w:szCs w:val="20"/>
    </w:rPr>
  </w:style>
  <w:style w:type="character" w:customStyle="1" w:styleId="49">
    <w:name w:val="编号，小四 Char"/>
    <w:basedOn w:val="26"/>
    <w:link w:val="48"/>
    <w:qFormat/>
    <w:uiPriority w:val="0"/>
    <w:rPr>
      <w:rFonts w:ascii="Arial" w:hAnsi="Arial" w:eastAsia="宋体" w:cs="Times New Roman"/>
      <w:sz w:val="24"/>
      <w:szCs w:val="20"/>
    </w:rPr>
  </w:style>
  <w:style w:type="paragraph" w:customStyle="1" w:styleId="50">
    <w:name w:val="样式 首行缩进:  0 字符"/>
    <w:basedOn w:val="1"/>
    <w:link w:val="51"/>
    <w:qFormat/>
    <w:uiPriority w:val="0"/>
    <w:pPr>
      <w:spacing w:line="360" w:lineRule="auto"/>
      <w:ind w:firstLine="200" w:firstLineChars="200"/>
    </w:pPr>
    <w:rPr>
      <w:rFonts w:ascii="Arial" w:hAnsi="Arial" w:cs="Times New Roman"/>
      <w:sz w:val="24"/>
      <w:szCs w:val="20"/>
    </w:rPr>
  </w:style>
  <w:style w:type="character" w:customStyle="1" w:styleId="51">
    <w:name w:val="样式 首行缩进:  0 字符 Char"/>
    <w:basedOn w:val="26"/>
    <w:link w:val="50"/>
    <w:qFormat/>
    <w:uiPriority w:val="0"/>
    <w:rPr>
      <w:rFonts w:ascii="Arial" w:hAnsi="Arial" w:eastAsia="宋体" w:cs="Times New Roman"/>
      <w:sz w:val="24"/>
      <w:szCs w:val="20"/>
    </w:rPr>
  </w:style>
  <w:style w:type="character" w:customStyle="1" w:styleId="52">
    <w:name w:val="题注 字符"/>
    <w:link w:val="9"/>
    <w:locked/>
    <w:uiPriority w:val="35"/>
    <w:rPr>
      <w:rFonts w:ascii="Arial Unicode MS" w:hAnsi="Arial Unicode MS" w:eastAsia="宋体" w:cs="Times New Roman"/>
      <w:sz w:val="28"/>
      <w:szCs w:val="21"/>
    </w:rPr>
  </w:style>
  <w:style w:type="paragraph" w:customStyle="1" w:styleId="53">
    <w:name w:val="GP正文(首行缩进)"/>
    <w:basedOn w:val="1"/>
    <w:qFormat/>
    <w:uiPriority w:val="0"/>
    <w:pPr>
      <w:spacing w:line="360" w:lineRule="auto"/>
      <w:ind w:firstLine="200" w:firstLineChars="200"/>
      <w:jc w:val="left"/>
    </w:pPr>
    <w:rPr>
      <w:rFonts w:ascii="Times New Roman" w:hAnsi="Times New Roman" w:cs="Times New Roman"/>
      <w:szCs w:val="21"/>
    </w:rPr>
  </w:style>
  <w:style w:type="character" w:customStyle="1" w:styleId="54">
    <w:name w:val="题注 字符1"/>
    <w:basedOn w:val="26"/>
    <w:qFormat/>
    <w:uiPriority w:val="0"/>
    <w:rPr>
      <w:rFonts w:hint="default" w:ascii="Arial Unicode MS" w:hAnsi="Arial Unicode MS" w:eastAsia="Arial Unicode MS" w:cs="Arial Unicode MS"/>
      <w:kern w:val="2"/>
      <w:sz w:val="21"/>
    </w:rPr>
  </w:style>
  <w:style w:type="table" w:customStyle="1" w:styleId="55">
    <w:name w:val="网格型1"/>
    <w:basedOn w:val="24"/>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6">
    <w:name w:val="列表段落 字符"/>
    <w:link w:val="40"/>
    <w:qFormat/>
    <w:uiPriority w:val="34"/>
    <w:rPr>
      <w:rFonts w:eastAsia="宋体"/>
      <w:sz w:val="28"/>
    </w:rPr>
  </w:style>
  <w:style w:type="paragraph" w:customStyle="1" w:styleId="5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59">
    <w:name w:val="正文缩进 字符"/>
    <w:link w:val="8"/>
    <w:qFormat/>
    <w:uiPriority w:val="0"/>
    <w:rPr>
      <w:rFonts w:eastAsia="宋体"/>
    </w:rPr>
  </w:style>
  <w:style w:type="character" w:customStyle="1" w:styleId="60">
    <w:name w:val="文档正文 Char"/>
    <w:link w:val="61"/>
    <w:qFormat/>
    <w:locked/>
    <w:uiPriority w:val="0"/>
    <w:rPr>
      <w:rFonts w:ascii="长城仿宋" w:hAnsi="宋体" w:eastAsia="宋体"/>
      <w:sz w:val="24"/>
    </w:rPr>
  </w:style>
  <w:style w:type="paragraph" w:customStyle="1" w:styleId="61">
    <w:name w:val="文档正文"/>
    <w:basedOn w:val="1"/>
    <w:link w:val="60"/>
    <w:qFormat/>
    <w:uiPriority w:val="0"/>
    <w:pPr>
      <w:adjustRightInd w:val="0"/>
      <w:spacing w:line="480" w:lineRule="atLeast"/>
      <w:ind w:firstLine="567" w:firstLineChars="200"/>
      <w:textAlignment w:val="baseline"/>
    </w:pPr>
    <w:rPr>
      <w:rFonts w:ascii="长城仿宋" w:hAns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9EE65B-4B86-4B49-A7CF-4BAA567F6DA1}">
  <ds:schemaRefs/>
</ds:datastoreItem>
</file>

<file path=docProps/app.xml><?xml version="1.0" encoding="utf-8"?>
<Properties xmlns="http://schemas.openxmlformats.org/officeDocument/2006/extended-properties" xmlns:vt="http://schemas.openxmlformats.org/officeDocument/2006/docPropsVTypes">
  <Template>Normal</Template>
  <Pages>18</Pages>
  <Words>1285</Words>
  <Characters>7329</Characters>
  <Lines>61</Lines>
  <Paragraphs>17</Paragraphs>
  <TotalTime>3</TotalTime>
  <ScaleCrop>false</ScaleCrop>
  <LinksUpToDate>false</LinksUpToDate>
  <CharactersWithSpaces>8597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2021-03-10T01:43:00Z</dcterms:created>
  <dc:creator>康逸夫</dc:creator>
  <cp:lastModifiedBy>Administrator</cp:lastModifiedBy>
  <cp:lastPrinted>2020-11-03T02:06:00Z</cp:lastPrinted>
  <dcterms:modified xsi:type="dcterms:W3CDTF">2022-07-10T15:51:12Z</dcterms:modified>
  <dc:title>1.项目标的</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