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00"/>
        <w:jc w:val="left"/>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rPr>
        <w:t>采购项目</w:t>
      </w:r>
      <w:r>
        <w:rPr>
          <w:rFonts w:hint="eastAsia" w:ascii="仿宋_GB2312" w:hAnsi="仿宋_GB2312" w:eastAsia="仿宋_GB2312" w:cs="仿宋_GB2312"/>
          <w:b/>
          <w:sz w:val="28"/>
          <w:szCs w:val="28"/>
          <w:lang w:eastAsia="zh-CN"/>
        </w:rPr>
        <w:t>需求</w:t>
      </w:r>
    </w:p>
    <w:p>
      <w:pPr>
        <w:autoSpaceDE w:val="0"/>
        <w:autoSpaceDN w:val="0"/>
        <w:rPr>
          <w:rFonts w:hint="eastAsia" w:ascii="仿宋_GB2312" w:hAnsi="仿宋_GB2312" w:eastAsia="仿宋_GB2312" w:cs="仿宋_GB2312"/>
          <w:b/>
          <w:szCs w:val="21"/>
          <w:lang w:val="zh-CN"/>
        </w:rPr>
      </w:pPr>
      <w:r>
        <w:rPr>
          <w:rFonts w:hint="eastAsia" w:ascii="仿宋_GB2312" w:hAnsi="仿宋_GB2312" w:eastAsia="仿宋_GB2312" w:cs="仿宋_GB2312"/>
          <w:b/>
          <w:szCs w:val="21"/>
        </w:rPr>
        <w:t>一、</w:t>
      </w:r>
      <w:r>
        <w:rPr>
          <w:rFonts w:hint="eastAsia" w:ascii="仿宋_GB2312" w:hAnsi="仿宋_GB2312" w:eastAsia="仿宋_GB2312" w:cs="仿宋_GB2312"/>
          <w:b/>
          <w:szCs w:val="21"/>
          <w:lang w:val="zh-CN"/>
        </w:rPr>
        <w:t>投标人资格：</w:t>
      </w:r>
    </w:p>
    <w:p>
      <w:pPr>
        <w:pStyle w:val="2"/>
        <w:spacing w:line="240" w:lineRule="auto"/>
        <w:ind w:right="1994"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1.具备《中华人民共和国政府采购法》第二十二条资格条件：</w:t>
      </w:r>
    </w:p>
    <w:p>
      <w:pPr>
        <w:pStyle w:val="2"/>
        <w:spacing w:line="24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1）具有独立承担民事责任的能力</w:t>
      </w:r>
    </w:p>
    <w:p>
      <w:pPr>
        <w:pStyle w:val="2"/>
        <w:spacing w:line="24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2）具有良好的商业信誉和健全的财务会计制度</w:t>
      </w:r>
    </w:p>
    <w:p>
      <w:pPr>
        <w:pStyle w:val="2"/>
        <w:spacing w:line="24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3）具有履行合同所必需的设备和专业技术能力</w:t>
      </w:r>
    </w:p>
    <w:p>
      <w:pPr>
        <w:pStyle w:val="2"/>
        <w:spacing w:line="24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4）有依法缴纳税收和社会保障资金的良好记录</w:t>
      </w:r>
    </w:p>
    <w:p>
      <w:pPr>
        <w:pStyle w:val="2"/>
        <w:spacing w:line="24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5）参加政府采购活动前三年内，在经营活动中没有重大违法记录</w:t>
      </w:r>
    </w:p>
    <w:p>
      <w:pPr>
        <w:pStyle w:val="2"/>
        <w:spacing w:line="24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6）法律、行政法规规定的其他条件</w:t>
      </w:r>
    </w:p>
    <w:p>
      <w:pPr>
        <w:pStyle w:val="2"/>
        <w:spacing w:line="24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2.在中华人民共和国境内注册的具有独立承担民事责任的法人或其他组织</w:t>
      </w:r>
      <w:r>
        <w:rPr>
          <w:rFonts w:hint="eastAsia" w:ascii="仿宋_GB2312" w:hAnsi="仿宋_GB2312" w:eastAsia="仿宋_GB2312" w:cs="仿宋_GB2312"/>
          <w:spacing w:val="-48"/>
          <w:szCs w:val="21"/>
        </w:rPr>
        <w:t>，</w:t>
      </w:r>
      <w:r>
        <w:rPr>
          <w:rFonts w:hint="eastAsia" w:ascii="仿宋_GB2312" w:hAnsi="仿宋_GB2312" w:eastAsia="仿宋_GB2312" w:cs="仿宋_GB2312"/>
          <w:szCs w:val="21"/>
        </w:rPr>
        <w:t>并获得工商营业执照，事业单位则需提供事业单位法人证书</w:t>
      </w:r>
    </w:p>
    <w:p>
      <w:pPr>
        <w:pStyle w:val="2"/>
        <w:spacing w:line="24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3.投标人必须持有卫生有害生物防制协会颁发的有效《有害生物防制服务资质证》</w:t>
      </w:r>
    </w:p>
    <w:p>
      <w:pPr>
        <w:pStyle w:val="2"/>
        <w:spacing w:line="24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w:t>
      </w:r>
      <w:r>
        <w:rPr>
          <w:rFonts w:hint="eastAsia" w:ascii="仿宋_GB2312" w:hAnsi="宋体" w:eastAsia="仿宋_GB2312"/>
          <w:color w:val="000000"/>
          <w:szCs w:val="21"/>
          <w:lang w:val="zh-CN"/>
        </w:rPr>
        <w:t>参与本项目的投标人提供当地检察机关出具三年或以上（或注册）至今的《无行贿犯罪档案记录证明》和《公平竞争承诺书》</w:t>
      </w:r>
    </w:p>
    <w:p>
      <w:pPr>
        <w:pStyle w:val="2"/>
        <w:spacing w:line="24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5.本项目不接受联合体投标</w:t>
      </w:r>
    </w:p>
    <w:p>
      <w:pPr>
        <w:pStyle w:val="3"/>
        <w:adjustRightInd w:val="0"/>
        <w:snapToGrid w:val="0"/>
        <w:ind w:firstLine="420" w:firstLineChars="200"/>
        <w:rPr>
          <w:rFonts w:hint="eastAsia" w:ascii="仿宋_GB2312" w:hAnsi="仿宋_GB2312" w:eastAsia="仿宋_GB2312" w:cs="仿宋_GB2312"/>
          <w:color w:val="000000"/>
        </w:rPr>
      </w:pPr>
      <w:r>
        <w:rPr>
          <w:rFonts w:hint="eastAsia" w:ascii="仿宋_GB2312" w:hAnsi="仿宋_GB2312" w:eastAsia="仿宋_GB2312" w:cs="仿宋_GB2312"/>
        </w:rPr>
        <w:t>6.在“信用中国”网站（www.creditchina.gov.cn）、中国政府采购网（www.ccgp.gov.cn）没有被列入失信被执行人、重大税收违法案件当事人名单、政府采购严重违法失信行为记录名单及其他不符合规定条件的供应商。</w:t>
      </w:r>
    </w:p>
    <w:p>
      <w:pPr>
        <w:pStyle w:val="3"/>
        <w:adjustRightInd w:val="0"/>
        <w:snapToGrid w:val="0"/>
        <w:rPr>
          <w:rFonts w:hint="eastAsia" w:ascii="仿宋_GB2312" w:hAnsi="仿宋_GB2312" w:eastAsia="仿宋_GB2312" w:cs="仿宋_GB2312"/>
          <w:color w:val="000000"/>
        </w:rPr>
      </w:pPr>
    </w:p>
    <w:p>
      <w:pPr>
        <w:pStyle w:val="3"/>
        <w:numPr>
          <w:ilvl w:val="0"/>
          <w:numId w:val="1"/>
        </w:numPr>
        <w:adjustRightInd w:val="0"/>
        <w:snapToGrid w:val="0"/>
        <w:rPr>
          <w:rFonts w:hint="eastAsia" w:ascii="仿宋_GB2312" w:hAnsi="仿宋_GB2312" w:eastAsia="仿宋_GB2312" w:cs="仿宋_GB2312"/>
          <w:b/>
        </w:rPr>
      </w:pPr>
      <w:r>
        <w:rPr>
          <w:rFonts w:hint="eastAsia" w:ascii="仿宋_GB2312" w:hAnsi="仿宋_GB2312" w:eastAsia="仿宋_GB2312" w:cs="仿宋_GB2312"/>
          <w:b/>
        </w:rPr>
        <w:t>用户需求书：</w:t>
      </w:r>
    </w:p>
    <w:p>
      <w:pPr>
        <w:pStyle w:val="3"/>
        <w:adjustRightInd w:val="0"/>
        <w:snapToGrid w:val="0"/>
        <w:ind w:firstLine="420" w:firstLineChars="200"/>
        <w:rPr>
          <w:rFonts w:hint="eastAsia" w:ascii="仿宋_GB2312" w:hAnsi="仿宋_GB2312" w:eastAsia="仿宋_GB2312" w:cs="仿宋_GB2312"/>
          <w:b/>
        </w:rPr>
      </w:pPr>
      <w:r>
        <w:rPr>
          <w:rFonts w:hint="eastAsia" w:ascii="仿宋_GB2312" w:hAnsi="仿宋_GB2312" w:eastAsia="仿宋_GB2312" w:cs="仿宋_GB2312"/>
        </w:rPr>
        <w:t>所有投标人必须严格按照招标文件的内容进行填写，如不能填写请提供说明。“▲”号条款为评审时的重要技术参数，不作为投标无效条款。如投标人产品对“▲”号条款有负偏离，评委将重点扣分。</w:t>
      </w:r>
    </w:p>
    <w:p>
      <w:pPr>
        <w:pStyle w:val="2"/>
        <w:spacing w:line="240" w:lineRule="auto"/>
        <w:ind w:right="-6090" w:rightChars="-2900"/>
        <w:outlineLvl w:val="1"/>
        <w:rPr>
          <w:rFonts w:hint="eastAsia" w:ascii="仿宋_GB2312" w:hAnsi="仿宋_GB2312" w:eastAsia="仿宋_GB2312" w:cs="仿宋_GB2312"/>
          <w:b/>
          <w:bCs/>
          <w:szCs w:val="21"/>
        </w:rPr>
      </w:pPr>
      <w:r>
        <w:rPr>
          <w:rFonts w:hint="eastAsia" w:ascii="仿宋_GB2312" w:hAnsi="仿宋_GB2312" w:eastAsia="仿宋_GB2312" w:cs="仿宋_GB2312"/>
          <w:b/>
          <w:bCs/>
          <w:szCs w:val="21"/>
        </w:rPr>
        <w:t>（一）、项目概况</w:t>
      </w:r>
    </w:p>
    <w:p>
      <w:pPr>
        <w:widowControl/>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1.项目内容：</w:t>
      </w:r>
      <w:r>
        <w:rPr>
          <w:rFonts w:hint="eastAsia" w:ascii="仿宋_GB2312" w:hAnsi="仿宋_GB2312" w:eastAsia="仿宋_GB2312" w:cs="仿宋_GB2312"/>
          <w:szCs w:val="21"/>
          <w:u w:val="single"/>
        </w:rPr>
        <w:t>广州市妇女儿童医疗中心除四害、蚁类及跳蚤臭虫防治服务项目</w:t>
      </w:r>
    </w:p>
    <w:p>
      <w:pPr>
        <w:pStyle w:val="2"/>
        <w:spacing w:line="240" w:lineRule="auto"/>
        <w:ind w:left="596"/>
        <w:rPr>
          <w:rFonts w:hint="eastAsia" w:ascii="仿宋_GB2312" w:hAnsi="仿宋_GB2312" w:eastAsia="仿宋_GB2312" w:cs="仿宋_GB2312"/>
          <w:szCs w:val="21"/>
        </w:rPr>
      </w:pPr>
      <w:r>
        <w:rPr>
          <w:rFonts w:hint="eastAsia" w:ascii="仿宋_GB2312" w:hAnsi="仿宋_GB2312" w:eastAsia="仿宋_GB2312" w:cs="仿宋_GB2312"/>
          <w:szCs w:val="21"/>
        </w:rPr>
        <w:t>2.服务年限：</w:t>
      </w:r>
      <w:r>
        <w:rPr>
          <w:rFonts w:hint="eastAsia" w:ascii="仿宋_GB2312" w:hAnsi="仿宋_GB2312" w:eastAsia="仿宋_GB2312" w:cs="仿宋_GB2312"/>
          <w:szCs w:val="21"/>
          <w:u w:val="single" w:color="000000"/>
        </w:rPr>
        <w:t>自合同签订之日起</w:t>
      </w:r>
      <w:r>
        <w:rPr>
          <w:rFonts w:hint="eastAsia" w:ascii="仿宋_GB2312" w:hAnsi="仿宋_GB2312" w:eastAsia="仿宋_GB2312" w:cs="仿宋_GB2312"/>
          <w:szCs w:val="21"/>
          <w:u w:val="single" w:color="000000"/>
          <w:lang w:eastAsia="zh-CN"/>
        </w:rPr>
        <w:t>一</w:t>
      </w:r>
      <w:r>
        <w:rPr>
          <w:rFonts w:hint="eastAsia" w:ascii="仿宋_GB2312" w:hAnsi="仿宋_GB2312" w:eastAsia="仿宋_GB2312" w:cs="仿宋_GB2312"/>
          <w:szCs w:val="21"/>
          <w:u w:val="single" w:color="000000"/>
        </w:rPr>
        <w:t>年</w:t>
      </w:r>
    </w:p>
    <w:p>
      <w:pPr>
        <w:pStyle w:val="2"/>
        <w:spacing w:line="240" w:lineRule="auto"/>
        <w:ind w:left="596"/>
        <w:rPr>
          <w:rFonts w:hint="eastAsia" w:ascii="仿宋_GB2312" w:hAnsi="仿宋_GB2312" w:eastAsia="仿宋_GB2312" w:cs="仿宋_GB2312"/>
          <w:szCs w:val="21"/>
        </w:rPr>
      </w:pPr>
      <w:r>
        <w:rPr>
          <w:rFonts w:hint="eastAsia" w:ascii="仿宋_GB2312" w:hAnsi="仿宋_GB2312" w:eastAsia="仿宋_GB2312" w:cs="仿宋_GB2312"/>
          <w:szCs w:val="21"/>
        </w:rPr>
        <w:t>3.服务地点及范围：</w:t>
      </w:r>
    </w:p>
    <w:p>
      <w:pPr>
        <w:pStyle w:val="2"/>
        <w:spacing w:line="240" w:lineRule="auto"/>
        <w:ind w:left="596"/>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szCs w:val="21"/>
        </w:rPr>
        <w:t>珠江新城院区金穗路9号、儿童院区人民中路318号、妇婴院区人民中路402号、</w:t>
      </w:r>
      <w:r>
        <w:rPr>
          <w:rFonts w:hint="eastAsia" w:ascii="仿宋_GB2312" w:hAnsi="仿宋_GB2312" w:eastAsia="仿宋_GB2312" w:cs="仿宋_GB2312"/>
          <w:color w:val="000000" w:themeColor="text1"/>
          <w:szCs w:val="21"/>
          <w14:textFill>
            <w14:solidFill>
              <w14:schemeClr w14:val="tx1"/>
            </w14:solidFill>
          </w14:textFill>
        </w:rPr>
        <w:t>白云院区白云区新市新达路91号及</w:t>
      </w:r>
      <w:r>
        <w:rPr>
          <w:rFonts w:hint="eastAsia" w:ascii="仿宋_GB2312" w:hAnsi="仿宋_GB2312" w:eastAsia="仿宋_GB2312" w:cs="仿宋_GB2312"/>
          <w:color w:val="000000" w:themeColor="text1"/>
          <w:szCs w:val="21"/>
          <w:lang w:eastAsia="zh-CN"/>
          <w14:textFill>
            <w14:solidFill>
              <w14:schemeClr w14:val="tx1"/>
            </w14:solidFill>
          </w14:textFill>
        </w:rPr>
        <w:t>四</w:t>
      </w:r>
      <w:r>
        <w:rPr>
          <w:rFonts w:hint="eastAsia" w:ascii="仿宋_GB2312" w:hAnsi="仿宋_GB2312" w:eastAsia="仿宋_GB2312" w:cs="仿宋_GB2312"/>
          <w:color w:val="000000" w:themeColor="text1"/>
          <w:szCs w:val="21"/>
          <w14:textFill>
            <w14:solidFill>
              <w14:schemeClr w14:val="tx1"/>
            </w14:solidFill>
          </w14:textFill>
        </w:rPr>
        <w:t>院区外集体宿舍和院区外有关租赁场所。</w:t>
      </w:r>
    </w:p>
    <w:p>
      <w:pPr>
        <w:pStyle w:val="2"/>
        <w:spacing w:line="240" w:lineRule="auto"/>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（二）、服务内容及要求</w:t>
      </w:r>
    </w:p>
    <w:p>
      <w:pPr>
        <w:pStyle w:val="2"/>
        <w:spacing w:line="240" w:lineRule="auto"/>
        <w:ind w:left="116"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1.服务内容</w:t>
      </w:r>
    </w:p>
    <w:p>
      <w:pPr>
        <w:pStyle w:val="2"/>
        <w:spacing w:line="240" w:lineRule="auto"/>
        <w:ind w:left="116"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szCs w:val="21"/>
        </w:rPr>
        <w:t>1）</w:t>
      </w:r>
      <w:r>
        <w:rPr>
          <w:rFonts w:hint="eastAsia" w:ascii="仿宋_GB2312" w:hAnsi="仿宋_GB2312" w:eastAsia="仿宋_GB2312" w:cs="仿宋_GB2312"/>
          <w:color w:val="000000" w:themeColor="text1"/>
          <w:szCs w:val="21"/>
          <w14:textFill>
            <w14:solidFill>
              <w14:schemeClr w14:val="tx1"/>
            </w14:solidFill>
          </w14:textFill>
        </w:rPr>
        <w:t>医院</w:t>
      </w:r>
      <w:r>
        <w:rPr>
          <w:rFonts w:hint="eastAsia" w:ascii="仿宋_GB2312" w:hAnsi="仿宋_GB2312" w:eastAsia="仿宋_GB2312" w:cs="仿宋_GB2312"/>
          <w:color w:val="000000" w:themeColor="text1"/>
          <w:szCs w:val="21"/>
          <w:lang w:eastAsia="zh-CN"/>
          <w14:textFill>
            <w14:solidFill>
              <w14:schemeClr w14:val="tx1"/>
            </w14:solidFill>
          </w14:textFill>
        </w:rPr>
        <w:t>四</w:t>
      </w:r>
      <w:r>
        <w:rPr>
          <w:rFonts w:hint="eastAsia" w:ascii="仿宋_GB2312" w:hAnsi="仿宋_GB2312" w:eastAsia="仿宋_GB2312" w:cs="仿宋_GB2312"/>
          <w:color w:val="000000" w:themeColor="text1"/>
          <w:szCs w:val="21"/>
          <w14:textFill>
            <w14:solidFill>
              <w14:schemeClr w14:val="tx1"/>
            </w14:solidFill>
          </w14:textFill>
        </w:rPr>
        <w:t>院区首层外围投放鼠药（定期更换药物）。</w:t>
      </w:r>
    </w:p>
    <w:p>
      <w:pPr>
        <w:pStyle w:val="2"/>
        <w:spacing w:line="240" w:lineRule="auto"/>
        <w:ind w:left="116"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r>
        <w:rPr>
          <w:rFonts w:hint="eastAsia" w:ascii="仿宋_GB2312" w:hAnsi="仿宋_GB2312" w:eastAsia="仿宋_GB2312" w:cs="仿宋_GB2312"/>
          <w:color w:val="000000" w:themeColor="text1"/>
          <w:spacing w:val="-15"/>
          <w:szCs w:val="2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停车场全部闸井及首层外围下水道沙井</w:t>
      </w:r>
      <w:r>
        <w:rPr>
          <w:rFonts w:hint="eastAsia" w:ascii="仿宋_GB2312" w:hAnsi="仿宋_GB2312" w:eastAsia="仿宋_GB2312" w:cs="仿宋_GB2312"/>
          <w:color w:val="000000" w:themeColor="text1"/>
          <w:spacing w:val="-17"/>
          <w:szCs w:val="2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每</w:t>
      </w:r>
      <w:r>
        <w:rPr>
          <w:rFonts w:hint="eastAsia" w:ascii="仿宋_GB2312" w:hAnsi="仿宋_GB2312" w:eastAsia="仿宋_GB2312" w:cs="仿宋_GB2312"/>
          <w:color w:val="000000" w:themeColor="text1"/>
          <w:szCs w:val="21"/>
          <w:lang w:eastAsia="zh-CN"/>
          <w14:textFill>
            <w14:solidFill>
              <w14:schemeClr w14:val="tx1"/>
            </w14:solidFill>
          </w14:textFill>
        </w:rPr>
        <w:t>月</w:t>
      </w:r>
      <w:r>
        <w:rPr>
          <w:rFonts w:hint="eastAsia" w:ascii="仿宋_GB2312" w:hAnsi="仿宋_GB2312" w:eastAsia="仿宋_GB2312" w:cs="仿宋_GB2312"/>
          <w:color w:val="000000" w:themeColor="text1"/>
          <w:szCs w:val="21"/>
          <w14:textFill>
            <w14:solidFill>
              <w14:schemeClr w14:val="tx1"/>
            </w14:solidFill>
          </w14:textFill>
        </w:rPr>
        <w:t>定期投放积水药、灭杀幼虫，处理蚊虫孳生地工作。</w:t>
      </w:r>
    </w:p>
    <w:p>
      <w:pPr>
        <w:pStyle w:val="2"/>
        <w:spacing w:line="240" w:lineRule="auto"/>
        <w:ind w:left="116"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3）定期烟熏建筑物范围内沙井、化粪池下水道。</w:t>
      </w:r>
    </w:p>
    <w:p>
      <w:pPr>
        <w:pStyle w:val="2"/>
        <w:spacing w:line="240" w:lineRule="auto"/>
        <w:ind w:left="116" w:firstLine="428"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pacing w:val="2"/>
          <w:szCs w:val="21"/>
          <w14:textFill>
            <w14:solidFill>
              <w14:schemeClr w14:val="tx1"/>
            </w14:solidFill>
          </w14:textFill>
        </w:rPr>
        <w:t>4）各楼</w:t>
      </w:r>
      <w:r>
        <w:rPr>
          <w:rFonts w:hint="eastAsia" w:ascii="仿宋_GB2312" w:hAnsi="仿宋_GB2312" w:eastAsia="仿宋_GB2312" w:cs="仿宋_GB2312"/>
          <w:color w:val="000000" w:themeColor="text1"/>
          <w:szCs w:val="21"/>
          <w14:textFill>
            <w14:solidFill>
              <w14:schemeClr w14:val="tx1"/>
            </w14:solidFill>
          </w14:textFill>
        </w:rPr>
        <w:t>层</w:t>
      </w:r>
      <w:r>
        <w:rPr>
          <w:rFonts w:hint="eastAsia" w:ascii="仿宋_GB2312" w:hAnsi="仿宋_GB2312" w:eastAsia="仿宋_GB2312" w:cs="仿宋_GB2312"/>
          <w:color w:val="000000" w:themeColor="text1"/>
          <w:spacing w:val="2"/>
          <w:szCs w:val="21"/>
          <w14:textFill>
            <w14:solidFill>
              <w14:schemeClr w14:val="tx1"/>
            </w14:solidFill>
          </w14:textFill>
        </w:rPr>
        <w:t>办公室、仓库</w:t>
      </w: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color w:val="000000" w:themeColor="text1"/>
          <w:spacing w:val="2"/>
          <w:szCs w:val="21"/>
          <w14:textFill>
            <w14:solidFill>
              <w14:schemeClr w14:val="tx1"/>
            </w14:solidFill>
          </w14:textFill>
        </w:rPr>
        <w:t>药房、饭堂、门诊、病房等</w:t>
      </w:r>
      <w:r>
        <w:rPr>
          <w:rFonts w:hint="eastAsia" w:ascii="仿宋_GB2312" w:hAnsi="仿宋_GB2312" w:eastAsia="仿宋_GB2312" w:cs="仿宋_GB2312"/>
          <w:color w:val="000000" w:themeColor="text1"/>
          <w:szCs w:val="21"/>
          <w14:textFill>
            <w14:solidFill>
              <w14:schemeClr w14:val="tx1"/>
            </w14:solidFill>
          </w14:textFill>
        </w:rPr>
        <w:t>公</w:t>
      </w:r>
      <w:r>
        <w:rPr>
          <w:rFonts w:hint="eastAsia" w:ascii="仿宋_GB2312" w:hAnsi="仿宋_GB2312" w:eastAsia="仿宋_GB2312" w:cs="仿宋_GB2312"/>
          <w:color w:val="000000" w:themeColor="text1"/>
          <w:spacing w:val="2"/>
          <w:szCs w:val="21"/>
          <w14:textFill>
            <w14:solidFill>
              <w14:schemeClr w14:val="tx1"/>
            </w14:solidFill>
          </w14:textFill>
        </w:rPr>
        <w:t>共场所投放贴</w:t>
      </w:r>
      <w:r>
        <w:rPr>
          <w:rFonts w:hint="eastAsia" w:ascii="仿宋_GB2312" w:hAnsi="仿宋_GB2312" w:eastAsia="仿宋_GB2312" w:cs="仿宋_GB2312"/>
          <w:color w:val="000000" w:themeColor="text1"/>
          <w:szCs w:val="21"/>
          <w14:textFill>
            <w14:solidFill>
              <w14:schemeClr w14:val="tx1"/>
            </w14:solidFill>
          </w14:textFill>
        </w:rPr>
        <w:t>鼠</w:t>
      </w:r>
      <w:r>
        <w:rPr>
          <w:rFonts w:hint="eastAsia" w:ascii="仿宋_GB2312" w:hAnsi="仿宋_GB2312" w:eastAsia="仿宋_GB2312" w:cs="仿宋_GB2312"/>
          <w:color w:val="000000" w:themeColor="text1"/>
          <w:spacing w:val="2"/>
          <w:szCs w:val="21"/>
          <w14:textFill>
            <w14:solidFill>
              <w14:schemeClr w14:val="tx1"/>
            </w14:solidFill>
          </w14:textFill>
        </w:rPr>
        <w:t>板、</w:t>
      </w:r>
      <w:r>
        <w:rPr>
          <w:rFonts w:hint="eastAsia" w:ascii="仿宋_GB2312" w:hAnsi="仿宋_GB2312" w:eastAsia="仿宋_GB2312" w:cs="仿宋_GB2312"/>
          <w:color w:val="000000" w:themeColor="text1"/>
          <w:szCs w:val="21"/>
          <w14:textFill>
            <w14:solidFill>
              <w14:schemeClr w14:val="tx1"/>
            </w14:solidFill>
          </w14:textFill>
        </w:rPr>
        <w:t>灭蟑方便贴或毒饵</w:t>
      </w:r>
      <w:r>
        <w:rPr>
          <w:rFonts w:hint="eastAsia" w:ascii="仿宋_GB2312" w:hAnsi="仿宋_GB2312" w:eastAsia="仿宋_GB2312" w:cs="仿宋_GB2312"/>
          <w:color w:val="000000" w:themeColor="text1"/>
          <w:szCs w:val="21"/>
          <w:lang w:eastAsia="zh-CN"/>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饭堂</w:t>
      </w:r>
      <w:r>
        <w:rPr>
          <w:rFonts w:hint="eastAsia" w:ascii="仿宋_GB2312" w:hAnsi="仿宋_GB2312" w:eastAsia="仿宋_GB2312" w:cs="仿宋_GB2312"/>
          <w:color w:val="000000" w:themeColor="text1"/>
          <w:szCs w:val="21"/>
          <w:lang w:eastAsia="zh-CN"/>
          <w14:textFill>
            <w14:solidFill>
              <w14:schemeClr w14:val="tx1"/>
            </w14:solidFill>
          </w14:textFill>
        </w:rPr>
        <w:t>禁止</w:t>
      </w:r>
      <w:r>
        <w:rPr>
          <w:rFonts w:hint="eastAsia" w:ascii="仿宋_GB2312" w:hAnsi="仿宋_GB2312" w:eastAsia="仿宋_GB2312" w:cs="仿宋_GB2312"/>
          <w:color w:val="000000" w:themeColor="text1"/>
          <w:szCs w:val="21"/>
          <w14:textFill>
            <w14:solidFill>
              <w14:schemeClr w14:val="tx1"/>
            </w14:solidFill>
          </w14:textFill>
        </w:rPr>
        <w:t>使用化学性灭鼠毒药</w:t>
      </w:r>
      <w:r>
        <w:rPr>
          <w:rFonts w:hint="eastAsia" w:ascii="仿宋_GB2312" w:hAnsi="仿宋_GB2312" w:eastAsia="仿宋_GB2312" w:cs="仿宋_GB2312"/>
          <w:color w:val="000000" w:themeColor="text1"/>
          <w:szCs w:val="21"/>
          <w:lang w:eastAsia="zh-CN"/>
          <w14:textFill>
            <w14:solidFill>
              <w14:schemeClr w14:val="tx1"/>
            </w14:solidFill>
          </w14:textFill>
        </w:rPr>
        <w:t>并</w:t>
      </w:r>
      <w:r>
        <w:rPr>
          <w:rFonts w:hint="eastAsia" w:ascii="仿宋_GB2312" w:hAnsi="仿宋_GB2312" w:eastAsia="仿宋_GB2312" w:cs="仿宋_GB2312"/>
          <w:color w:val="000000" w:themeColor="text1"/>
          <w:szCs w:val="21"/>
          <w14:textFill>
            <w14:solidFill>
              <w14:schemeClr w14:val="tx1"/>
            </w14:solidFill>
          </w14:textFill>
        </w:rPr>
        <w:t>负责清理鼠迹。</w:t>
      </w:r>
    </w:p>
    <w:p>
      <w:pPr>
        <w:pStyle w:val="2"/>
        <w:spacing w:line="240" w:lineRule="auto"/>
        <w:ind w:left="116" w:firstLine="428"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pacing w:val="2"/>
          <w:szCs w:val="21"/>
          <w14:textFill>
            <w14:solidFill>
              <w14:schemeClr w14:val="tx1"/>
            </w14:solidFill>
          </w14:textFill>
        </w:rPr>
        <w:t>5）每</w:t>
      </w:r>
      <w:r>
        <w:rPr>
          <w:rFonts w:hint="eastAsia" w:ascii="仿宋_GB2312" w:hAnsi="仿宋_GB2312" w:eastAsia="仿宋_GB2312" w:cs="仿宋_GB2312"/>
          <w:color w:val="000000" w:themeColor="text1"/>
          <w:spacing w:val="2"/>
          <w:szCs w:val="21"/>
          <w:lang w:eastAsia="zh-CN"/>
          <w14:textFill>
            <w14:solidFill>
              <w14:schemeClr w14:val="tx1"/>
            </w14:solidFill>
          </w14:textFill>
        </w:rPr>
        <w:t>周</w:t>
      </w:r>
      <w:r>
        <w:rPr>
          <w:rFonts w:hint="eastAsia" w:ascii="仿宋_GB2312" w:hAnsi="仿宋_GB2312" w:eastAsia="仿宋_GB2312" w:cs="仿宋_GB2312"/>
          <w:color w:val="000000" w:themeColor="text1"/>
          <w:szCs w:val="21"/>
          <w14:textFill>
            <w14:solidFill>
              <w14:schemeClr w14:val="tx1"/>
            </w14:solidFill>
          </w14:textFill>
        </w:rPr>
        <w:t>定</w:t>
      </w:r>
      <w:r>
        <w:rPr>
          <w:rFonts w:hint="eastAsia" w:ascii="仿宋_GB2312" w:hAnsi="仿宋_GB2312" w:eastAsia="仿宋_GB2312" w:cs="仿宋_GB2312"/>
          <w:color w:val="000000" w:themeColor="text1"/>
          <w:spacing w:val="2"/>
          <w:szCs w:val="21"/>
          <w14:textFill>
            <w14:solidFill>
              <w14:schemeClr w14:val="tx1"/>
            </w14:solidFill>
          </w14:textFill>
        </w:rPr>
        <w:t>期</w:t>
      </w:r>
      <w:r>
        <w:rPr>
          <w:rFonts w:hint="eastAsia" w:ascii="仿宋_GB2312" w:hAnsi="仿宋_GB2312" w:eastAsia="仿宋_GB2312" w:cs="仿宋_GB2312"/>
          <w:color w:val="000000" w:themeColor="text1"/>
          <w:spacing w:val="2"/>
          <w:szCs w:val="21"/>
          <w:lang w:eastAsia="zh-CN"/>
          <w14:textFill>
            <w14:solidFill>
              <w14:schemeClr w14:val="tx1"/>
            </w14:solidFill>
          </w14:textFill>
        </w:rPr>
        <w:t>一至两</w:t>
      </w:r>
      <w:r>
        <w:rPr>
          <w:rFonts w:hint="eastAsia" w:ascii="仿宋_GB2312" w:hAnsi="仿宋_GB2312" w:eastAsia="仿宋_GB2312" w:cs="仿宋_GB2312"/>
          <w:color w:val="000000" w:themeColor="text1"/>
          <w:spacing w:val="2"/>
          <w:szCs w:val="21"/>
          <w14:textFill>
            <w14:solidFill>
              <w14:schemeClr w14:val="tx1"/>
            </w14:solidFill>
          </w14:textFill>
        </w:rPr>
        <w:t>次喷杀蚊</w:t>
      </w:r>
      <w:r>
        <w:rPr>
          <w:rFonts w:hint="eastAsia" w:ascii="仿宋_GB2312" w:hAnsi="仿宋_GB2312" w:eastAsia="仿宋_GB2312" w:cs="仿宋_GB2312"/>
          <w:color w:val="000000" w:themeColor="text1"/>
          <w:szCs w:val="21"/>
          <w14:textFill>
            <w14:solidFill>
              <w14:schemeClr w14:val="tx1"/>
            </w14:solidFill>
          </w14:textFill>
        </w:rPr>
        <w:t>虫</w:t>
      </w:r>
      <w:r>
        <w:rPr>
          <w:rFonts w:hint="eastAsia" w:ascii="仿宋_GB2312" w:hAnsi="仿宋_GB2312" w:eastAsia="仿宋_GB2312" w:cs="仿宋_GB2312"/>
          <w:color w:val="000000" w:themeColor="text1"/>
          <w:spacing w:val="2"/>
          <w:szCs w:val="21"/>
          <w14:textFill>
            <w14:solidFill>
              <w14:schemeClr w14:val="tx1"/>
            </w14:solidFill>
          </w14:textFill>
        </w:rPr>
        <w:t>主要包括外围</w:t>
      </w:r>
      <w:r>
        <w:rPr>
          <w:rFonts w:hint="eastAsia" w:ascii="仿宋_GB2312" w:hAnsi="仿宋_GB2312" w:eastAsia="仿宋_GB2312" w:cs="仿宋_GB2312"/>
          <w:color w:val="000000" w:themeColor="text1"/>
          <w:szCs w:val="21"/>
          <w14:textFill>
            <w14:solidFill>
              <w14:schemeClr w14:val="tx1"/>
            </w14:solidFill>
          </w14:textFill>
        </w:rPr>
        <w:t>首</w:t>
      </w:r>
      <w:r>
        <w:rPr>
          <w:rFonts w:hint="eastAsia" w:ascii="仿宋_GB2312" w:hAnsi="仿宋_GB2312" w:eastAsia="仿宋_GB2312" w:cs="仿宋_GB2312"/>
          <w:color w:val="000000" w:themeColor="text1"/>
          <w:spacing w:val="2"/>
          <w:szCs w:val="21"/>
          <w14:textFill>
            <w14:solidFill>
              <w14:schemeClr w14:val="tx1"/>
            </w14:solidFill>
          </w14:textFill>
        </w:rPr>
        <w:t>层绿化带、沙</w:t>
      </w:r>
      <w:r>
        <w:rPr>
          <w:rFonts w:hint="eastAsia" w:ascii="仿宋_GB2312" w:hAnsi="仿宋_GB2312" w:eastAsia="仿宋_GB2312" w:cs="仿宋_GB2312"/>
          <w:color w:val="000000" w:themeColor="text1"/>
          <w:szCs w:val="21"/>
          <w14:textFill>
            <w14:solidFill>
              <w14:schemeClr w14:val="tx1"/>
            </w14:solidFill>
          </w14:textFill>
        </w:rPr>
        <w:t>井</w:t>
      </w:r>
      <w:r>
        <w:rPr>
          <w:rFonts w:hint="eastAsia" w:ascii="仿宋_GB2312" w:hAnsi="仿宋_GB2312" w:eastAsia="仿宋_GB2312" w:cs="仿宋_GB2312"/>
          <w:color w:val="000000" w:themeColor="text1"/>
          <w:spacing w:val="2"/>
          <w:szCs w:val="21"/>
          <w14:textFill>
            <w14:solidFill>
              <w14:schemeClr w14:val="tx1"/>
            </w14:solidFill>
          </w14:textFill>
        </w:rPr>
        <w:t>、</w:t>
      </w:r>
      <w:r>
        <w:rPr>
          <w:rFonts w:hint="eastAsia" w:ascii="仿宋_GB2312" w:hAnsi="仿宋_GB2312" w:eastAsia="仿宋_GB2312" w:cs="仿宋_GB2312"/>
          <w:color w:val="000000" w:themeColor="text1"/>
          <w:szCs w:val="21"/>
          <w14:textFill>
            <w14:solidFill>
              <w14:schemeClr w14:val="tx1"/>
            </w14:solidFill>
          </w14:textFill>
        </w:rPr>
        <w:t>停车场及楼层公共场所部分等场地。</w:t>
      </w:r>
    </w:p>
    <w:p>
      <w:pPr>
        <w:pStyle w:val="2"/>
        <w:spacing w:line="240" w:lineRule="auto"/>
        <w:ind w:left="116" w:firstLine="420" w:firstLineChars="200"/>
        <w:rPr>
          <w:rFonts w:hint="eastAsia"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w:t>
      </w:r>
      <w:r>
        <w:rPr>
          <w:rFonts w:hint="eastAsia" w:ascii="仿宋_GB2312" w:hAnsi="仿宋_GB2312" w:eastAsia="仿宋_GB2312" w:cs="仿宋_GB2312"/>
          <w:color w:val="000000" w:themeColor="text1"/>
          <w:szCs w:val="21"/>
          <w:lang w:eastAsia="zh-CN"/>
          <w14:textFill>
            <w14:solidFill>
              <w14:schemeClr w14:val="tx1"/>
            </w14:solidFill>
          </w14:textFill>
        </w:rPr>
        <w:t>非工作高峰期或周末</w:t>
      </w:r>
      <w:r>
        <w:rPr>
          <w:rFonts w:hint="eastAsia" w:ascii="仿宋_GB2312" w:hAnsi="仿宋_GB2312" w:eastAsia="仿宋_GB2312" w:cs="仿宋_GB2312"/>
          <w:color w:val="000000" w:themeColor="text1"/>
          <w:szCs w:val="21"/>
          <w14:textFill>
            <w14:solidFill>
              <w14:schemeClr w14:val="tx1"/>
            </w14:solidFill>
          </w14:textFill>
        </w:rPr>
        <w:t>对手术室、PICU、NICU等封闭科室、病房等区域进行蚊虫消杀防治</w:t>
      </w:r>
      <w:r>
        <w:rPr>
          <w:rFonts w:hint="eastAsia" w:ascii="仿宋_GB2312" w:hAnsi="仿宋_GB2312" w:eastAsia="仿宋_GB2312" w:cs="仿宋_GB2312"/>
          <w:color w:val="000000" w:themeColor="text1"/>
          <w:szCs w:val="21"/>
          <w:lang w:eastAsia="zh-CN"/>
          <w14:textFill>
            <w14:solidFill>
              <w14:schemeClr w14:val="tx1"/>
            </w14:solidFill>
          </w14:textFill>
        </w:rPr>
        <w:t>，对不方便大规模进行灭蚊的病区，提供灭蚊剂或灭蚊灯</w:t>
      </w:r>
      <w:r>
        <w:rPr>
          <w:rFonts w:hint="eastAsia" w:ascii="仿宋_GB2312" w:hAnsi="仿宋_GB2312" w:eastAsia="仿宋_GB2312" w:cs="仿宋_GB2312"/>
          <w:color w:val="000000" w:themeColor="text1"/>
          <w:szCs w:val="21"/>
          <w14:textFill>
            <w14:solidFill>
              <w14:schemeClr w14:val="tx1"/>
            </w14:solidFill>
          </w14:textFill>
        </w:rPr>
        <w:t>。</w:t>
      </w:r>
    </w:p>
    <w:p>
      <w:pPr>
        <w:pStyle w:val="2"/>
        <w:spacing w:line="240" w:lineRule="auto"/>
        <w:ind w:left="116" w:firstLine="420" w:firstLineChars="200"/>
        <w:rPr>
          <w:rFonts w:hint="eastAsia" w:ascii="仿宋_GB2312" w:hAnsi="仿宋_GB2312" w:eastAsia="仿宋_GB2312" w:cs="仿宋_GB2312"/>
          <w:szCs w:val="21"/>
        </w:rPr>
      </w:pPr>
      <w:r>
        <w:rPr>
          <w:rFonts w:hint="eastAsia" w:ascii="仿宋_GB2312" w:eastAsia="仿宋_GB2312"/>
          <w:szCs w:val="21"/>
        </w:rPr>
        <w:t>▲</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 xml:space="preserve">）对采购人所反馈的消杀后仍存在的问题，必须在 </w:t>
      </w:r>
      <w:r>
        <w:rPr>
          <w:rFonts w:hint="eastAsia" w:ascii="仿宋_GB2312" w:hAnsi="仿宋_GB2312" w:eastAsia="仿宋_GB2312" w:cs="仿宋_GB2312"/>
          <w:szCs w:val="21"/>
          <w:u w:val="single"/>
          <w:lang w:val="en-US" w:eastAsia="zh-CN"/>
        </w:rPr>
        <w:t>2</w:t>
      </w:r>
      <w:r>
        <w:rPr>
          <w:rFonts w:hint="eastAsia" w:ascii="仿宋_GB2312" w:hAnsi="仿宋_GB2312" w:eastAsia="仿宋_GB2312" w:cs="仿宋_GB2312"/>
          <w:szCs w:val="21"/>
        </w:rPr>
        <w:t>小时内到现场有效处理。</w:t>
      </w:r>
    </w:p>
    <w:p>
      <w:pPr>
        <w:pStyle w:val="2"/>
        <w:spacing w:line="240" w:lineRule="auto"/>
        <w:ind w:left="116" w:firstLine="420" w:firstLineChars="200"/>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8</w:t>
      </w:r>
      <w:r>
        <w:rPr>
          <w:rFonts w:hint="eastAsia" w:ascii="仿宋_GB2312" w:hAnsi="仿宋_GB2312" w:eastAsia="仿宋_GB2312" w:cs="仿宋_GB2312"/>
          <w:color w:val="000000" w:themeColor="text1"/>
          <w:szCs w:val="21"/>
          <w14:textFill>
            <w14:solidFill>
              <w14:schemeClr w14:val="tx1"/>
            </w14:solidFill>
          </w14:textFill>
        </w:rPr>
        <w:t>）</w:t>
      </w:r>
      <w:r>
        <w:rPr>
          <w:rFonts w:hint="eastAsia" w:ascii="仿宋_GB2312" w:hAnsi="仿宋_GB2312" w:eastAsia="仿宋_GB2312" w:cs="仿宋_GB2312"/>
          <w:color w:val="000000" w:themeColor="text1"/>
          <w:szCs w:val="21"/>
          <w:lang w:val="en-US" w:eastAsia="zh-CN"/>
          <w14:textFill>
            <w14:solidFill>
              <w14:schemeClr w14:val="tx1"/>
            </w14:solidFill>
          </w14:textFill>
        </w:rPr>
        <w:t>4月-10月每周消杀作业不少于2次，在珠江新城院区安排1名人员驻点，儿童院区、妇婴院区安排1名人员驻点；11月-3月每周消杀不少于1次，原则上不安排驻点人员。</w:t>
      </w:r>
    </w:p>
    <w:p>
      <w:pPr>
        <w:pStyle w:val="2"/>
        <w:numPr>
          <w:ilvl w:val="0"/>
          <w:numId w:val="2"/>
        </w:numPr>
        <w:spacing w:line="240" w:lineRule="auto"/>
        <w:ind w:left="116" w:firstLine="420" w:firstLineChars="200"/>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中标人须将服务于本项目人员分工方案、工作人员的名单、电话号码、身份证复印件、资格证复印件等资料交采购人备案，需要变更相关人员时须经采购人同意并更新备案资料。</w:t>
      </w:r>
    </w:p>
    <w:p>
      <w:pPr>
        <w:pStyle w:val="2"/>
        <w:numPr>
          <w:ilvl w:val="0"/>
          <w:numId w:val="2"/>
        </w:numPr>
        <w:spacing w:line="240" w:lineRule="auto"/>
        <w:ind w:left="116" w:firstLine="420" w:firstLineChars="200"/>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中标人须</w:t>
      </w:r>
      <w:r>
        <w:rPr>
          <w:rFonts w:hint="default" w:ascii="仿宋_GB2312" w:hAnsi="仿宋_GB2312" w:eastAsia="仿宋_GB2312" w:cs="仿宋_GB2312"/>
          <w:color w:val="000000" w:themeColor="text1"/>
          <w:szCs w:val="21"/>
          <w:lang w:val="en-US" w:eastAsia="zh-CN"/>
          <w14:textFill>
            <w14:solidFill>
              <w14:schemeClr w14:val="tx1"/>
            </w14:solidFill>
          </w14:textFill>
        </w:rPr>
        <w:t>按采购人要求做好各种规范的除“四害”监测纪录，制定科学的季度、月度除“四害”工作计划，包括技术方案、工作方法、用药计划等。每季度10号前将上季度的实施质量和工作情况向采购人作书面报告。</w:t>
      </w:r>
    </w:p>
    <w:p>
      <w:pPr>
        <w:pStyle w:val="2"/>
        <w:numPr>
          <w:ilvl w:val="0"/>
          <w:numId w:val="2"/>
        </w:numPr>
        <w:spacing w:line="240" w:lineRule="auto"/>
        <w:ind w:left="116" w:firstLine="420" w:firstLineChars="200"/>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中标人</w:t>
      </w:r>
      <w:r>
        <w:rPr>
          <w:rFonts w:hint="default" w:ascii="仿宋_GB2312" w:hAnsi="仿宋_GB2312" w:eastAsia="仿宋_GB2312" w:cs="仿宋_GB2312"/>
          <w:color w:val="000000" w:themeColor="text1"/>
          <w:szCs w:val="21"/>
          <w:lang w:val="en-US" w:eastAsia="zh-CN"/>
          <w14:textFill>
            <w14:solidFill>
              <w14:schemeClr w14:val="tx1"/>
            </w14:solidFill>
          </w14:textFill>
        </w:rPr>
        <w:t>不得以任何形式</w:t>
      </w:r>
      <w:bookmarkStart w:id="0" w:name="_GoBack"/>
      <w:bookmarkEnd w:id="0"/>
      <w:r>
        <w:rPr>
          <w:rFonts w:hint="default" w:ascii="仿宋_GB2312" w:hAnsi="仿宋_GB2312" w:eastAsia="仿宋_GB2312" w:cs="仿宋_GB2312"/>
          <w:color w:val="000000" w:themeColor="text1"/>
          <w:szCs w:val="21"/>
          <w:lang w:val="en-US" w:eastAsia="zh-CN"/>
          <w14:textFill>
            <w14:solidFill>
              <w14:schemeClr w14:val="tx1"/>
            </w14:solidFill>
          </w14:textFill>
        </w:rPr>
        <w:t>转包、分包本项目，否则采购人不予支付转包、分包期间的服务费，并有权终止合同。</w:t>
      </w:r>
    </w:p>
    <w:p>
      <w:pPr>
        <w:pStyle w:val="2"/>
        <w:spacing w:line="240" w:lineRule="auto"/>
        <w:ind w:left="116" w:firstLine="420" w:firstLineChars="200"/>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注：驻点人员主要负责处置临时突发事件及处理定期消杀未完善的事项，按法定工作时间，每天到指定地点打卡记考勤。</w:t>
      </w:r>
    </w:p>
    <w:p>
      <w:pPr>
        <w:pStyle w:val="2"/>
        <w:spacing w:line="240" w:lineRule="auto"/>
        <w:ind w:left="116" w:firstLine="420" w:firstLineChars="200"/>
        <w:jc w:val="left"/>
        <w:rPr>
          <w:rFonts w:hint="eastAsia" w:ascii="仿宋_GB2312" w:hAnsi="仿宋_GB2312" w:eastAsia="仿宋_GB2312" w:cs="仿宋_GB2312"/>
          <w:szCs w:val="21"/>
        </w:rPr>
      </w:pPr>
      <w:r>
        <w:rPr>
          <w:rFonts w:hint="eastAsia" w:ascii="仿宋_GB2312" w:eastAsia="仿宋_GB2312"/>
          <w:szCs w:val="21"/>
        </w:rPr>
        <w:t>▲</w:t>
      </w:r>
      <w:r>
        <w:rPr>
          <w:rFonts w:hint="eastAsia" w:ascii="仿宋_GB2312" w:hAnsi="仿宋_GB2312" w:eastAsia="仿宋_GB2312" w:cs="仿宋_GB2312"/>
          <w:szCs w:val="21"/>
        </w:rPr>
        <w:t>2.投施药频次要求：</w:t>
      </w:r>
    </w:p>
    <w:p>
      <w:pPr>
        <w:pStyle w:val="2"/>
        <w:spacing w:line="240" w:lineRule="auto"/>
        <w:ind w:left="116" w:firstLine="420" w:firstLineChars="200"/>
        <w:jc w:val="left"/>
        <w:rPr>
          <w:rFonts w:hint="eastAsia" w:ascii="仿宋_GB2312" w:hAnsi="仿宋_GB2312" w:eastAsia="仿宋_GB2312" w:cs="仿宋_GB2312"/>
          <w:szCs w:val="21"/>
        </w:rPr>
      </w:pPr>
    </w:p>
    <w:tbl>
      <w:tblPr>
        <w:tblStyle w:val="4"/>
        <w:tblW w:w="8832" w:type="dxa"/>
        <w:jc w:val="center"/>
        <w:tblLayout w:type="fixed"/>
        <w:tblCellMar>
          <w:top w:w="0" w:type="dxa"/>
          <w:left w:w="0" w:type="dxa"/>
          <w:bottom w:w="0" w:type="dxa"/>
          <w:right w:w="0" w:type="dxa"/>
        </w:tblCellMar>
      </w:tblPr>
      <w:tblGrid>
        <w:gridCol w:w="1416"/>
        <w:gridCol w:w="1650"/>
        <w:gridCol w:w="3154"/>
        <w:gridCol w:w="2612"/>
      </w:tblGrid>
      <w:tr>
        <w:tblPrEx>
          <w:tblCellMar>
            <w:top w:w="0" w:type="dxa"/>
            <w:left w:w="0" w:type="dxa"/>
            <w:bottom w:w="0" w:type="dxa"/>
            <w:right w:w="0" w:type="dxa"/>
          </w:tblCellMar>
        </w:tblPrEx>
        <w:trPr>
          <w:trHeight w:val="438" w:hRule="exact"/>
          <w:jc w:val="center"/>
        </w:trPr>
        <w:tc>
          <w:tcPr>
            <w:tcW w:w="1416" w:type="dxa"/>
            <w:tcBorders>
              <w:top w:val="single" w:color="000000" w:sz="4" w:space="0"/>
              <w:left w:val="single" w:color="000000" w:sz="4" w:space="0"/>
              <w:bottom w:val="single" w:color="000000" w:sz="4" w:space="0"/>
              <w:right w:val="single" w:color="000000" w:sz="4" w:space="0"/>
            </w:tcBorders>
            <w:noWrap w:val="0"/>
            <w:vAlign w:val="center"/>
          </w:tcPr>
          <w:p>
            <w:pPr>
              <w:pStyle w:val="6"/>
              <w:ind w:left="103"/>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防治对象</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pStyle w:val="6"/>
              <w:ind w:left="102"/>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防治范围</w:t>
            </w:r>
          </w:p>
        </w:tc>
        <w:tc>
          <w:tcPr>
            <w:tcW w:w="3154" w:type="dxa"/>
            <w:tcBorders>
              <w:top w:val="single" w:color="000000" w:sz="4" w:space="0"/>
              <w:left w:val="single" w:color="000000" w:sz="4" w:space="0"/>
              <w:bottom w:val="single" w:color="000000" w:sz="4" w:space="0"/>
              <w:right w:val="single" w:color="000000" w:sz="4" w:space="0"/>
            </w:tcBorders>
            <w:noWrap w:val="0"/>
            <w:vAlign w:val="center"/>
          </w:tcPr>
          <w:p>
            <w:pPr>
              <w:pStyle w:val="6"/>
              <w:ind w:left="580"/>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防治次数</w:t>
            </w:r>
          </w:p>
        </w:tc>
        <w:tc>
          <w:tcPr>
            <w:tcW w:w="2612" w:type="dxa"/>
            <w:tcBorders>
              <w:top w:val="single" w:color="000000" w:sz="4" w:space="0"/>
              <w:left w:val="single" w:color="000000" w:sz="4" w:space="0"/>
              <w:bottom w:val="single" w:color="000000" w:sz="4" w:space="0"/>
              <w:right w:val="single" w:color="000000" w:sz="4" w:space="0"/>
            </w:tcBorders>
            <w:noWrap w:val="0"/>
            <w:vAlign w:val="center"/>
          </w:tcPr>
          <w:p>
            <w:pPr>
              <w:pStyle w:val="6"/>
              <w:ind w:left="102"/>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备注</w:t>
            </w:r>
          </w:p>
        </w:tc>
      </w:tr>
      <w:tr>
        <w:tblPrEx>
          <w:tblCellMar>
            <w:top w:w="0" w:type="dxa"/>
            <w:left w:w="0" w:type="dxa"/>
            <w:bottom w:w="0" w:type="dxa"/>
            <w:right w:w="0" w:type="dxa"/>
          </w:tblCellMar>
        </w:tblPrEx>
        <w:trPr>
          <w:trHeight w:val="274" w:hRule="exact"/>
          <w:jc w:val="center"/>
        </w:trPr>
        <w:tc>
          <w:tcPr>
            <w:tcW w:w="1416" w:type="dxa"/>
            <w:tcBorders>
              <w:top w:val="single" w:color="000000" w:sz="4" w:space="0"/>
              <w:left w:val="single" w:color="000000" w:sz="4" w:space="0"/>
              <w:right w:val="single" w:color="000000" w:sz="4" w:space="0"/>
            </w:tcBorders>
            <w:noWrap w:val="0"/>
            <w:vAlign w:val="center"/>
          </w:tcPr>
          <w:p>
            <w:pPr>
              <w:pStyle w:val="6"/>
              <w:jc w:val="center"/>
              <w:rPr>
                <w:rFonts w:hint="eastAsia" w:ascii="仿宋_GB2312" w:hAnsi="仿宋_GB2312" w:eastAsia="仿宋_GB2312" w:cs="仿宋_GB2312"/>
                <w:szCs w:val="21"/>
              </w:rPr>
            </w:pPr>
            <w:r>
              <w:rPr>
                <w:rFonts w:hint="eastAsia" w:ascii="仿宋_GB2312" w:hAnsi="仿宋_GB2312" w:eastAsia="仿宋_GB2312" w:cs="仿宋_GB2312"/>
                <w:szCs w:val="21"/>
              </w:rPr>
              <w:t>蚊、蝇</w:t>
            </w:r>
          </w:p>
        </w:tc>
        <w:tc>
          <w:tcPr>
            <w:tcW w:w="1650" w:type="dxa"/>
            <w:vMerge w:val="restart"/>
            <w:tcBorders>
              <w:top w:val="single" w:color="000000" w:sz="4" w:space="0"/>
              <w:left w:val="single" w:color="000000" w:sz="4" w:space="0"/>
              <w:right w:val="single" w:color="000000" w:sz="4" w:space="0"/>
            </w:tcBorders>
            <w:noWrap w:val="0"/>
            <w:vAlign w:val="center"/>
          </w:tcPr>
          <w:p>
            <w:pPr>
              <w:pStyle w:val="6"/>
              <w:ind w:left="102"/>
              <w:jc w:val="center"/>
              <w:rPr>
                <w:rFonts w:hint="eastAsia" w:ascii="仿宋_GB2312" w:hAnsi="仿宋_GB2312" w:eastAsia="仿宋_GB2312" w:cs="仿宋_GB2312"/>
                <w:szCs w:val="21"/>
              </w:rPr>
            </w:pPr>
            <w:r>
              <w:rPr>
                <w:rFonts w:hint="eastAsia" w:ascii="仿宋_GB2312" w:hAnsi="仿宋_GB2312" w:eastAsia="仿宋_GB2312" w:cs="仿宋_GB2312"/>
                <w:szCs w:val="21"/>
              </w:rPr>
              <w:t>所有服务范围</w:t>
            </w:r>
          </w:p>
        </w:tc>
        <w:tc>
          <w:tcPr>
            <w:tcW w:w="3154" w:type="dxa"/>
            <w:vMerge w:val="restart"/>
            <w:tcBorders>
              <w:top w:val="single" w:color="000000" w:sz="4" w:space="0"/>
              <w:left w:val="single" w:color="000000" w:sz="4" w:space="0"/>
              <w:right w:val="single" w:color="000000" w:sz="4" w:space="0"/>
            </w:tcBorders>
            <w:noWrap w:val="0"/>
            <w:vAlign w:val="center"/>
          </w:tcPr>
          <w:p>
            <w:pPr>
              <w:pStyle w:val="6"/>
              <w:spacing w:before="44"/>
              <w:ind w:left="103"/>
              <w:jc w:val="center"/>
              <w:rPr>
                <w:rFonts w:hint="eastAsia" w:ascii="仿宋_GB2312" w:hAnsi="仿宋_GB2312" w:eastAsia="仿宋_GB2312" w:cs="仿宋_GB2312"/>
                <w:szCs w:val="21"/>
              </w:rPr>
            </w:pPr>
            <w:r>
              <w:rPr>
                <w:rFonts w:hint="eastAsia" w:ascii="仿宋_GB2312" w:hAnsi="仿宋_GB2312" w:eastAsia="仿宋_GB2312" w:cs="仿宋_GB2312"/>
                <w:szCs w:val="21"/>
              </w:rPr>
              <w:t>每周定期进行检查防治工作</w:t>
            </w:r>
            <w:r>
              <w:rPr>
                <w:rFonts w:hint="eastAsia" w:ascii="仿宋_GB2312" w:hAnsi="仿宋_GB2312" w:eastAsia="仿宋_GB2312" w:cs="仿宋_GB2312"/>
                <w:szCs w:val="21"/>
                <w:lang w:eastAsia="zh-CN"/>
              </w:rPr>
              <w:t>两</w:t>
            </w:r>
            <w:r>
              <w:rPr>
                <w:rFonts w:hint="eastAsia" w:ascii="仿宋_GB2312" w:hAnsi="仿宋_GB2312" w:eastAsia="仿宋_GB2312" w:cs="仿宋_GB2312"/>
                <w:szCs w:val="21"/>
              </w:rPr>
              <w:t>次</w:t>
            </w:r>
          </w:p>
        </w:tc>
        <w:tc>
          <w:tcPr>
            <w:tcW w:w="2612" w:type="dxa"/>
            <w:vMerge w:val="restart"/>
            <w:tcBorders>
              <w:top w:val="single" w:color="000000" w:sz="4" w:space="0"/>
              <w:left w:val="single" w:color="000000" w:sz="4" w:space="0"/>
              <w:right w:val="single" w:color="000000" w:sz="4" w:space="0"/>
            </w:tcBorders>
            <w:noWrap w:val="0"/>
            <w:vAlign w:val="center"/>
          </w:tcPr>
          <w:p>
            <w:pPr>
              <w:pStyle w:val="6"/>
              <w:spacing w:before="1"/>
              <w:ind w:left="102"/>
              <w:jc w:val="center"/>
              <w:rPr>
                <w:rFonts w:hint="eastAsia" w:ascii="仿宋_GB2312" w:hAnsi="仿宋_GB2312" w:eastAsia="仿宋_GB2312" w:cs="仿宋_GB2312"/>
                <w:szCs w:val="21"/>
              </w:rPr>
            </w:pPr>
            <w:r>
              <w:rPr>
                <w:rFonts w:hint="eastAsia" w:ascii="仿宋_GB2312" w:hAnsi="仿宋_GB2312" w:eastAsia="仿宋_GB2312" w:cs="仿宋_GB2312"/>
                <w:spacing w:val="16"/>
                <w:szCs w:val="21"/>
              </w:rPr>
              <w:t>防治次数</w:t>
            </w:r>
            <w:r>
              <w:rPr>
                <w:rFonts w:hint="eastAsia" w:ascii="仿宋_GB2312" w:hAnsi="仿宋_GB2312" w:eastAsia="仿宋_GB2312" w:cs="仿宋_GB2312"/>
                <w:spacing w:val="14"/>
                <w:szCs w:val="21"/>
              </w:rPr>
              <w:t>为</w:t>
            </w:r>
            <w:r>
              <w:rPr>
                <w:rFonts w:hint="eastAsia" w:ascii="仿宋_GB2312" w:hAnsi="仿宋_GB2312" w:eastAsia="仿宋_GB2312" w:cs="仿宋_GB2312"/>
                <w:szCs w:val="21"/>
              </w:rPr>
              <w:t>参考值</w:t>
            </w:r>
            <w:r>
              <w:rPr>
                <w:rFonts w:hint="eastAsia" w:ascii="仿宋_GB2312" w:hAnsi="仿宋_GB2312" w:eastAsia="仿宋_GB2312" w:cs="仿宋_GB2312"/>
                <w:spacing w:val="-3"/>
                <w:szCs w:val="21"/>
              </w:rPr>
              <w:t>，</w:t>
            </w:r>
            <w:r>
              <w:rPr>
                <w:rFonts w:hint="eastAsia" w:ascii="仿宋_GB2312" w:hAnsi="仿宋_GB2312" w:eastAsia="仿宋_GB2312" w:cs="仿宋_GB2312"/>
                <w:szCs w:val="21"/>
              </w:rPr>
              <w:t>实际次数和时间有可能随政府部门的相关要求以及</w:t>
            </w:r>
            <w:r>
              <w:rPr>
                <w:rFonts w:hint="eastAsia" w:ascii="仿宋_GB2312" w:eastAsia="仿宋_GB2312"/>
                <w:szCs w:val="21"/>
              </w:rPr>
              <w:t>采购</w:t>
            </w:r>
            <w:r>
              <w:rPr>
                <w:rFonts w:hint="eastAsia" w:ascii="仿宋_GB2312" w:hAnsi="仿宋_GB2312" w:eastAsia="仿宋_GB2312" w:cs="仿宋_GB2312"/>
                <w:szCs w:val="21"/>
              </w:rPr>
              <w:t>单位实际需要变化。</w:t>
            </w:r>
          </w:p>
        </w:tc>
      </w:tr>
      <w:tr>
        <w:tblPrEx>
          <w:tblCellMar>
            <w:top w:w="0" w:type="dxa"/>
            <w:left w:w="0" w:type="dxa"/>
            <w:bottom w:w="0" w:type="dxa"/>
            <w:right w:w="0" w:type="dxa"/>
          </w:tblCellMar>
        </w:tblPrEx>
        <w:trPr>
          <w:trHeight w:val="302" w:hRule="exact"/>
          <w:jc w:val="center"/>
        </w:trPr>
        <w:tc>
          <w:tcPr>
            <w:tcW w:w="1416" w:type="dxa"/>
            <w:tcBorders>
              <w:top w:val="single" w:color="000000" w:sz="4" w:space="0"/>
              <w:left w:val="single" w:color="000000" w:sz="4" w:space="0"/>
              <w:right w:val="single" w:color="000000" w:sz="4" w:space="0"/>
            </w:tcBorders>
            <w:noWrap w:val="0"/>
            <w:vAlign w:val="center"/>
          </w:tcPr>
          <w:p>
            <w:pPr>
              <w:pStyle w:val="6"/>
              <w:ind w:left="103"/>
              <w:jc w:val="center"/>
              <w:rPr>
                <w:rFonts w:hint="eastAsia" w:ascii="仿宋_GB2312" w:hAnsi="仿宋_GB2312" w:eastAsia="仿宋_GB2312" w:cs="仿宋_GB2312"/>
                <w:szCs w:val="21"/>
              </w:rPr>
            </w:pPr>
            <w:r>
              <w:rPr>
                <w:rFonts w:hint="eastAsia" w:ascii="仿宋_GB2312" w:hAnsi="仿宋_GB2312" w:eastAsia="仿宋_GB2312" w:cs="仿宋_GB2312"/>
                <w:szCs w:val="21"/>
              </w:rPr>
              <w:t>鼠</w:t>
            </w:r>
          </w:p>
        </w:tc>
        <w:tc>
          <w:tcPr>
            <w:tcW w:w="1650" w:type="dxa"/>
            <w:vMerge w:val="continue"/>
            <w:tcBorders>
              <w:left w:val="single" w:color="000000" w:sz="4" w:space="0"/>
              <w:right w:val="single" w:color="000000" w:sz="4" w:space="0"/>
            </w:tcBorders>
            <w:noWrap w:val="0"/>
            <w:vAlign w:val="top"/>
          </w:tcPr>
          <w:p>
            <w:pPr>
              <w:pStyle w:val="6"/>
              <w:ind w:left="102"/>
              <w:rPr>
                <w:rFonts w:hint="eastAsia" w:ascii="仿宋_GB2312" w:hAnsi="仿宋_GB2312" w:eastAsia="仿宋_GB2312" w:cs="仿宋_GB2312"/>
                <w:szCs w:val="21"/>
              </w:rPr>
            </w:pPr>
          </w:p>
        </w:tc>
        <w:tc>
          <w:tcPr>
            <w:tcW w:w="3154" w:type="dxa"/>
            <w:vMerge w:val="continue"/>
            <w:tcBorders>
              <w:left w:val="single" w:color="000000" w:sz="4" w:space="0"/>
              <w:right w:val="single" w:color="000000" w:sz="4" w:space="0"/>
            </w:tcBorders>
            <w:noWrap w:val="0"/>
            <w:vAlign w:val="top"/>
          </w:tcPr>
          <w:p>
            <w:pPr>
              <w:pStyle w:val="6"/>
              <w:jc w:val="center"/>
              <w:rPr>
                <w:rFonts w:hint="eastAsia" w:ascii="仿宋_GB2312" w:hAnsi="仿宋_GB2312" w:eastAsia="仿宋_GB2312" w:cs="仿宋_GB2312"/>
                <w:szCs w:val="21"/>
              </w:rPr>
            </w:pPr>
          </w:p>
        </w:tc>
        <w:tc>
          <w:tcPr>
            <w:tcW w:w="2612" w:type="dxa"/>
            <w:vMerge w:val="continue"/>
            <w:tcBorders>
              <w:left w:val="single" w:color="000000" w:sz="4" w:space="0"/>
              <w:right w:val="single" w:color="000000" w:sz="4" w:space="0"/>
            </w:tcBorders>
            <w:noWrap w:val="0"/>
            <w:vAlign w:val="top"/>
          </w:tcPr>
          <w:p>
            <w:pPr>
              <w:pStyle w:val="6"/>
              <w:ind w:left="2012" w:hanging="2011" w:hangingChars="958"/>
              <w:rPr>
                <w:rFonts w:hint="eastAsia" w:ascii="仿宋_GB2312" w:hAnsi="仿宋_GB2312" w:eastAsia="仿宋_GB2312" w:cs="仿宋_GB2312"/>
                <w:szCs w:val="21"/>
              </w:rPr>
            </w:pPr>
          </w:p>
        </w:tc>
      </w:tr>
      <w:tr>
        <w:tblPrEx>
          <w:tblCellMar>
            <w:top w:w="0" w:type="dxa"/>
            <w:left w:w="0" w:type="dxa"/>
            <w:bottom w:w="0" w:type="dxa"/>
            <w:right w:w="0" w:type="dxa"/>
          </w:tblCellMar>
        </w:tblPrEx>
        <w:trPr>
          <w:trHeight w:val="278" w:hRule="exact"/>
          <w:jc w:val="center"/>
        </w:trPr>
        <w:tc>
          <w:tcPr>
            <w:tcW w:w="1416" w:type="dxa"/>
            <w:tcBorders>
              <w:top w:val="single" w:color="auto" w:sz="4" w:space="0"/>
              <w:left w:val="single" w:color="auto" w:sz="4" w:space="0"/>
              <w:bottom w:val="single" w:color="auto" w:sz="4" w:space="0"/>
              <w:right w:val="single" w:color="auto" w:sz="4" w:space="0"/>
            </w:tcBorders>
            <w:noWrap w:val="0"/>
            <w:vAlign w:val="center"/>
          </w:tcPr>
          <w:p>
            <w:pPr>
              <w:pStyle w:val="6"/>
              <w:ind w:left="103"/>
              <w:jc w:val="center"/>
              <w:rPr>
                <w:rFonts w:hint="eastAsia" w:ascii="仿宋_GB2312" w:hAnsi="仿宋_GB2312" w:eastAsia="仿宋_GB2312" w:cs="仿宋_GB2312"/>
                <w:szCs w:val="21"/>
              </w:rPr>
            </w:pPr>
            <w:r>
              <w:rPr>
                <w:rFonts w:hint="eastAsia" w:ascii="仿宋_GB2312" w:hAnsi="仿宋_GB2312" w:eastAsia="仿宋_GB2312" w:cs="仿宋_GB2312"/>
                <w:szCs w:val="21"/>
              </w:rPr>
              <w:t>蟑螂</w:t>
            </w:r>
          </w:p>
          <w:p>
            <w:pPr>
              <w:pStyle w:val="6"/>
              <w:ind w:left="103"/>
              <w:jc w:val="center"/>
              <w:rPr>
                <w:rFonts w:hint="eastAsia" w:ascii="仿宋_GB2312" w:hAnsi="仿宋_GB2312" w:eastAsia="仿宋_GB2312" w:cs="仿宋_GB2312"/>
                <w:szCs w:val="21"/>
              </w:rPr>
            </w:pPr>
          </w:p>
        </w:tc>
        <w:tc>
          <w:tcPr>
            <w:tcW w:w="1650" w:type="dxa"/>
            <w:vMerge w:val="continue"/>
            <w:tcBorders>
              <w:left w:val="single" w:color="000000" w:sz="4" w:space="0"/>
              <w:right w:val="single" w:color="000000" w:sz="4" w:space="0"/>
            </w:tcBorders>
            <w:noWrap w:val="0"/>
            <w:vAlign w:val="top"/>
          </w:tcPr>
          <w:p>
            <w:pPr>
              <w:pStyle w:val="6"/>
              <w:ind w:left="102"/>
              <w:rPr>
                <w:rFonts w:hint="eastAsia" w:ascii="仿宋_GB2312" w:hAnsi="仿宋_GB2312" w:eastAsia="仿宋_GB2312" w:cs="仿宋_GB2312"/>
                <w:szCs w:val="21"/>
              </w:rPr>
            </w:pPr>
          </w:p>
        </w:tc>
        <w:tc>
          <w:tcPr>
            <w:tcW w:w="3154" w:type="dxa"/>
            <w:vMerge w:val="continue"/>
            <w:tcBorders>
              <w:left w:val="single" w:color="000000" w:sz="4" w:space="0"/>
              <w:right w:val="single" w:color="000000" w:sz="4" w:space="0"/>
            </w:tcBorders>
            <w:noWrap w:val="0"/>
            <w:vAlign w:val="top"/>
          </w:tcPr>
          <w:p>
            <w:pPr>
              <w:pStyle w:val="6"/>
              <w:ind w:left="103"/>
              <w:jc w:val="center"/>
              <w:rPr>
                <w:rFonts w:hint="eastAsia" w:ascii="仿宋_GB2312" w:hAnsi="仿宋_GB2312" w:eastAsia="仿宋_GB2312" w:cs="仿宋_GB2312"/>
                <w:szCs w:val="21"/>
              </w:rPr>
            </w:pPr>
          </w:p>
        </w:tc>
        <w:tc>
          <w:tcPr>
            <w:tcW w:w="2612" w:type="dxa"/>
            <w:vMerge w:val="continue"/>
            <w:tcBorders>
              <w:left w:val="single" w:color="000000" w:sz="4" w:space="0"/>
              <w:right w:val="single" w:color="000000" w:sz="4" w:space="0"/>
            </w:tcBorders>
            <w:noWrap w:val="0"/>
            <w:vAlign w:val="top"/>
          </w:tcPr>
          <w:p>
            <w:pPr>
              <w:pStyle w:val="6"/>
              <w:ind w:left="102"/>
              <w:rPr>
                <w:rFonts w:hint="eastAsia" w:ascii="仿宋_GB2312" w:hAnsi="仿宋_GB2312" w:eastAsia="仿宋_GB2312" w:cs="仿宋_GB2312"/>
                <w:szCs w:val="21"/>
              </w:rPr>
            </w:pPr>
          </w:p>
        </w:tc>
      </w:tr>
      <w:tr>
        <w:tblPrEx>
          <w:tblCellMar>
            <w:top w:w="0" w:type="dxa"/>
            <w:left w:w="0" w:type="dxa"/>
            <w:bottom w:w="0" w:type="dxa"/>
            <w:right w:w="0" w:type="dxa"/>
          </w:tblCellMar>
        </w:tblPrEx>
        <w:trPr>
          <w:trHeight w:val="298" w:hRule="exact"/>
          <w:jc w:val="center"/>
        </w:trPr>
        <w:tc>
          <w:tcPr>
            <w:tcW w:w="14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蚁类</w:t>
            </w:r>
          </w:p>
        </w:tc>
        <w:tc>
          <w:tcPr>
            <w:tcW w:w="1650" w:type="dxa"/>
            <w:vMerge w:val="continue"/>
            <w:tcBorders>
              <w:left w:val="single" w:color="000000" w:sz="4" w:space="0"/>
              <w:right w:val="single" w:color="000000" w:sz="4" w:space="0"/>
            </w:tcBorders>
            <w:noWrap w:val="0"/>
            <w:vAlign w:val="top"/>
          </w:tcPr>
          <w:p>
            <w:pPr>
              <w:rPr>
                <w:rFonts w:hint="eastAsia" w:ascii="仿宋_GB2312" w:hAnsi="仿宋_GB2312" w:eastAsia="仿宋_GB2312" w:cs="仿宋_GB2312"/>
                <w:szCs w:val="21"/>
              </w:rPr>
            </w:pPr>
          </w:p>
        </w:tc>
        <w:tc>
          <w:tcPr>
            <w:tcW w:w="3154" w:type="dxa"/>
            <w:vMerge w:val="continue"/>
            <w:tcBorders>
              <w:left w:val="single" w:color="000000" w:sz="4" w:space="0"/>
              <w:right w:val="single" w:color="000000" w:sz="4" w:space="0"/>
            </w:tcBorders>
            <w:noWrap w:val="0"/>
            <w:vAlign w:val="top"/>
          </w:tcPr>
          <w:p>
            <w:pPr>
              <w:jc w:val="center"/>
              <w:rPr>
                <w:rFonts w:hint="eastAsia" w:ascii="仿宋_GB2312" w:hAnsi="仿宋_GB2312" w:eastAsia="仿宋_GB2312" w:cs="仿宋_GB2312"/>
                <w:szCs w:val="21"/>
              </w:rPr>
            </w:pPr>
          </w:p>
        </w:tc>
        <w:tc>
          <w:tcPr>
            <w:tcW w:w="2612" w:type="dxa"/>
            <w:vMerge w:val="continue"/>
            <w:tcBorders>
              <w:left w:val="single" w:color="000000" w:sz="4" w:space="0"/>
              <w:right w:val="single" w:color="000000" w:sz="4" w:space="0"/>
            </w:tcBorders>
            <w:noWrap w:val="0"/>
            <w:vAlign w:val="top"/>
          </w:tcPr>
          <w:p>
            <w:pPr>
              <w:pStyle w:val="6"/>
              <w:ind w:left="102"/>
              <w:rPr>
                <w:rFonts w:hint="eastAsia" w:ascii="仿宋_GB2312" w:hAnsi="仿宋_GB2312" w:eastAsia="仿宋_GB2312" w:cs="仿宋_GB2312"/>
                <w:szCs w:val="21"/>
              </w:rPr>
            </w:pPr>
          </w:p>
        </w:tc>
      </w:tr>
      <w:tr>
        <w:tblPrEx>
          <w:tblCellMar>
            <w:top w:w="0" w:type="dxa"/>
            <w:left w:w="0" w:type="dxa"/>
            <w:bottom w:w="0" w:type="dxa"/>
            <w:right w:w="0" w:type="dxa"/>
          </w:tblCellMar>
        </w:tblPrEx>
        <w:trPr>
          <w:trHeight w:val="471" w:hRule="exact"/>
          <w:jc w:val="center"/>
        </w:trPr>
        <w:tc>
          <w:tcPr>
            <w:tcW w:w="14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跳蚤、臭虫</w:t>
            </w:r>
          </w:p>
        </w:tc>
        <w:tc>
          <w:tcPr>
            <w:tcW w:w="1650" w:type="dxa"/>
            <w:vMerge w:val="continue"/>
            <w:tcBorders>
              <w:left w:val="single" w:color="000000" w:sz="4" w:space="0"/>
              <w:bottom w:val="single" w:color="auto" w:sz="4" w:space="0"/>
              <w:right w:val="single" w:color="000000" w:sz="4" w:space="0"/>
            </w:tcBorders>
            <w:noWrap w:val="0"/>
            <w:vAlign w:val="top"/>
          </w:tcPr>
          <w:p>
            <w:pPr>
              <w:rPr>
                <w:rFonts w:hint="eastAsia" w:ascii="仿宋_GB2312" w:hAnsi="仿宋_GB2312" w:eastAsia="仿宋_GB2312" w:cs="仿宋_GB2312"/>
                <w:szCs w:val="21"/>
              </w:rPr>
            </w:pPr>
          </w:p>
        </w:tc>
        <w:tc>
          <w:tcPr>
            <w:tcW w:w="3154" w:type="dxa"/>
            <w:vMerge w:val="continue"/>
            <w:tcBorders>
              <w:left w:val="single" w:color="000000" w:sz="4" w:space="0"/>
              <w:bottom w:val="single" w:color="auto" w:sz="4" w:space="0"/>
              <w:right w:val="single" w:color="000000" w:sz="4" w:space="0"/>
            </w:tcBorders>
            <w:noWrap w:val="0"/>
            <w:vAlign w:val="top"/>
          </w:tcPr>
          <w:p>
            <w:pPr>
              <w:jc w:val="center"/>
              <w:rPr>
                <w:rFonts w:hint="eastAsia" w:ascii="仿宋_GB2312" w:hAnsi="仿宋_GB2312" w:eastAsia="仿宋_GB2312" w:cs="仿宋_GB2312"/>
                <w:szCs w:val="21"/>
              </w:rPr>
            </w:pPr>
          </w:p>
        </w:tc>
        <w:tc>
          <w:tcPr>
            <w:tcW w:w="2612" w:type="dxa"/>
            <w:vMerge w:val="continue"/>
            <w:tcBorders>
              <w:left w:val="single" w:color="000000" w:sz="4" w:space="0"/>
              <w:bottom w:val="single" w:color="auto" w:sz="4" w:space="0"/>
              <w:right w:val="single" w:color="000000" w:sz="4" w:space="0"/>
            </w:tcBorders>
            <w:noWrap w:val="0"/>
            <w:vAlign w:val="top"/>
          </w:tcPr>
          <w:p>
            <w:pPr>
              <w:pStyle w:val="6"/>
              <w:ind w:left="102"/>
              <w:rPr>
                <w:rFonts w:hint="eastAsia" w:ascii="仿宋_GB2312" w:hAnsi="仿宋_GB2312" w:eastAsia="仿宋_GB2312" w:cs="仿宋_GB2312"/>
                <w:szCs w:val="21"/>
              </w:rPr>
            </w:pPr>
          </w:p>
        </w:tc>
      </w:tr>
    </w:tbl>
    <w:p>
      <w:pPr>
        <w:rPr>
          <w:rFonts w:hint="eastAsia" w:ascii="仿宋_GB2312" w:hAnsi="仿宋_GB2312" w:eastAsia="仿宋_GB2312" w:cs="仿宋_GB2312"/>
          <w:szCs w:val="21"/>
        </w:rPr>
      </w:pPr>
    </w:p>
    <w:tbl>
      <w:tblPr>
        <w:tblStyle w:val="4"/>
        <w:tblpPr w:leftFromText="180" w:rightFromText="180" w:vertAnchor="text" w:horzAnchor="page" w:tblpXSpec="center" w:tblpY="256"/>
        <w:tblOverlap w:val="never"/>
        <w:tblW w:w="85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4"/>
        <w:gridCol w:w="6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exact"/>
          <w:jc w:val="center"/>
        </w:trPr>
        <w:tc>
          <w:tcPr>
            <w:tcW w:w="2344" w:type="dxa"/>
            <w:noWrap w:val="0"/>
            <w:vAlign w:val="top"/>
          </w:tcPr>
          <w:p>
            <w:pPr>
              <w:pStyle w:val="6"/>
              <w:spacing w:line="300" w:lineRule="exact"/>
              <w:ind w:left="1"/>
              <w:jc w:val="center"/>
              <w:rPr>
                <w:rFonts w:hint="eastAsia" w:ascii="仿宋_GB2312" w:hAnsi="仿宋_GB2312" w:eastAsia="仿宋_GB2312" w:cs="仿宋_GB2312"/>
                <w:szCs w:val="21"/>
              </w:rPr>
            </w:pPr>
            <w:r>
              <w:rPr>
                <w:rFonts w:hint="eastAsia" w:ascii="仿宋_GB2312" w:hAnsi="仿宋_GB2312" w:eastAsia="仿宋_GB2312" w:cs="仿宋_GB2312"/>
                <w:szCs w:val="21"/>
              </w:rPr>
              <w:t>种类</w:t>
            </w:r>
          </w:p>
        </w:tc>
        <w:tc>
          <w:tcPr>
            <w:tcW w:w="6191" w:type="dxa"/>
            <w:noWrap w:val="0"/>
            <w:vAlign w:val="top"/>
          </w:tcPr>
          <w:p>
            <w:pPr>
              <w:pStyle w:val="6"/>
              <w:spacing w:line="300" w:lineRule="exact"/>
              <w:ind w:left="3"/>
              <w:jc w:val="center"/>
              <w:rPr>
                <w:rFonts w:hint="eastAsia" w:ascii="仿宋_GB2312" w:hAnsi="仿宋_GB2312" w:eastAsia="仿宋_GB2312" w:cs="仿宋_GB2312"/>
                <w:szCs w:val="21"/>
              </w:rPr>
            </w:pPr>
            <w:r>
              <w:rPr>
                <w:rFonts w:hint="eastAsia" w:ascii="仿宋_GB2312" w:hAnsi="仿宋_GB2312" w:eastAsia="仿宋_GB2312" w:cs="仿宋_GB2312"/>
                <w:szCs w:val="21"/>
              </w:rPr>
              <w:t>用</w:t>
            </w:r>
            <w:r>
              <w:rPr>
                <w:rFonts w:hint="eastAsia" w:ascii="仿宋_GB2312" w:hAnsi="仿宋_GB2312" w:eastAsia="仿宋_GB2312" w:cs="仿宋_GB2312"/>
                <w:spacing w:val="2"/>
                <w:szCs w:val="21"/>
              </w:rPr>
              <w:t>药</w:t>
            </w:r>
            <w:r>
              <w:rPr>
                <w:rFonts w:hint="eastAsia" w:ascii="仿宋_GB2312" w:hAnsi="仿宋_GB2312" w:eastAsia="仿宋_GB2312" w:cs="仿宋_GB2312"/>
                <w:szCs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exact"/>
          <w:jc w:val="center"/>
        </w:trPr>
        <w:tc>
          <w:tcPr>
            <w:tcW w:w="2344" w:type="dxa"/>
            <w:vMerge w:val="restart"/>
            <w:noWrap w:val="0"/>
            <w:vAlign w:val="center"/>
          </w:tcPr>
          <w:p>
            <w:pPr>
              <w:pStyle w:val="6"/>
              <w:spacing w:line="300" w:lineRule="exact"/>
              <w:jc w:val="center"/>
              <w:rPr>
                <w:rFonts w:hint="eastAsia" w:ascii="仿宋_GB2312" w:hAnsi="仿宋_GB2312" w:eastAsia="仿宋_GB2312" w:cs="仿宋_GB2312"/>
                <w:szCs w:val="21"/>
              </w:rPr>
            </w:pPr>
          </w:p>
          <w:p>
            <w:pPr>
              <w:pStyle w:val="6"/>
              <w:spacing w:line="300" w:lineRule="exact"/>
              <w:jc w:val="center"/>
              <w:rPr>
                <w:rFonts w:hint="eastAsia" w:ascii="仿宋_GB2312" w:hAnsi="仿宋_GB2312" w:eastAsia="仿宋_GB2312" w:cs="仿宋_GB2312"/>
                <w:szCs w:val="21"/>
              </w:rPr>
            </w:pPr>
          </w:p>
          <w:p>
            <w:pPr>
              <w:pStyle w:val="6"/>
              <w:spacing w:line="300" w:lineRule="exact"/>
              <w:jc w:val="center"/>
              <w:rPr>
                <w:rFonts w:hint="eastAsia" w:ascii="仿宋_GB2312" w:hAnsi="仿宋_GB2312" w:eastAsia="仿宋_GB2312" w:cs="仿宋_GB2312"/>
                <w:szCs w:val="21"/>
              </w:rPr>
            </w:pPr>
          </w:p>
          <w:p>
            <w:pPr>
              <w:pStyle w:val="6"/>
              <w:spacing w:line="300" w:lineRule="exact"/>
              <w:jc w:val="center"/>
              <w:rPr>
                <w:rFonts w:hint="eastAsia" w:ascii="仿宋_GB2312" w:hAnsi="仿宋_GB2312" w:eastAsia="仿宋_GB2312" w:cs="仿宋_GB2312"/>
                <w:szCs w:val="21"/>
              </w:rPr>
            </w:pPr>
          </w:p>
          <w:p>
            <w:pPr>
              <w:pStyle w:val="6"/>
              <w:spacing w:line="300" w:lineRule="exact"/>
              <w:jc w:val="center"/>
              <w:rPr>
                <w:rFonts w:hint="eastAsia" w:ascii="仿宋_GB2312" w:hAnsi="仿宋_GB2312" w:eastAsia="仿宋_GB2312" w:cs="仿宋_GB2312"/>
                <w:szCs w:val="21"/>
              </w:rPr>
            </w:pPr>
          </w:p>
          <w:p>
            <w:pPr>
              <w:pStyle w:val="6"/>
              <w:spacing w:line="300" w:lineRule="exact"/>
              <w:jc w:val="center"/>
              <w:rPr>
                <w:rFonts w:hint="eastAsia" w:ascii="仿宋_GB2312" w:hAnsi="仿宋_GB2312" w:eastAsia="仿宋_GB2312" w:cs="仿宋_GB2312"/>
                <w:szCs w:val="21"/>
              </w:rPr>
            </w:pPr>
          </w:p>
          <w:p>
            <w:pPr>
              <w:pStyle w:val="6"/>
              <w:spacing w:line="300" w:lineRule="exact"/>
              <w:ind w:right="785"/>
              <w:jc w:val="center"/>
              <w:rPr>
                <w:rFonts w:hint="eastAsia" w:ascii="仿宋_GB2312" w:hAnsi="仿宋_GB2312" w:eastAsia="仿宋_GB2312" w:cs="仿宋_GB2312"/>
                <w:szCs w:val="21"/>
              </w:rPr>
            </w:pPr>
            <w:r>
              <w:rPr>
                <w:rFonts w:hint="eastAsia" w:ascii="仿宋_GB2312" w:hAnsi="仿宋_GB2312" w:eastAsia="仿宋_GB2312" w:cs="仿宋_GB2312"/>
                <w:szCs w:val="21"/>
              </w:rPr>
              <w:t>灭</w:t>
            </w:r>
            <w:r>
              <w:rPr>
                <w:rFonts w:hint="eastAsia" w:ascii="仿宋_GB2312" w:hAnsi="仿宋_GB2312" w:eastAsia="仿宋_GB2312" w:cs="仿宋_GB2312"/>
                <w:spacing w:val="2"/>
                <w:szCs w:val="21"/>
              </w:rPr>
              <w:t>蚊、臭虫、跳蚤</w:t>
            </w:r>
            <w:r>
              <w:rPr>
                <w:rFonts w:hint="eastAsia" w:ascii="仿宋_GB2312" w:hAnsi="仿宋_GB2312" w:eastAsia="仿宋_GB2312" w:cs="仿宋_GB2312"/>
                <w:szCs w:val="21"/>
              </w:rPr>
              <w:t>：</w:t>
            </w:r>
          </w:p>
        </w:tc>
        <w:tc>
          <w:tcPr>
            <w:tcW w:w="6191" w:type="dxa"/>
            <w:noWrap w:val="0"/>
            <w:vAlign w:val="top"/>
          </w:tcPr>
          <w:p>
            <w:pPr>
              <w:pStyle w:val="6"/>
              <w:spacing w:line="300" w:lineRule="exact"/>
              <w:ind w:left="103"/>
              <w:rPr>
                <w:rFonts w:hint="eastAsia" w:ascii="仿宋_GB2312" w:hAnsi="仿宋_GB2312" w:eastAsia="仿宋_GB2312" w:cs="仿宋_GB2312"/>
                <w:szCs w:val="21"/>
              </w:rPr>
            </w:pPr>
            <w:r>
              <w:rPr>
                <w:rFonts w:hint="eastAsia" w:ascii="仿宋_GB2312" w:hAnsi="仿宋_GB2312" w:eastAsia="仿宋_GB2312" w:cs="仿宋_GB2312"/>
                <w:szCs w:val="21"/>
              </w:rPr>
              <w:t>10.5%ES—烯丙氯菊策乳剂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exact"/>
          <w:jc w:val="center"/>
        </w:trPr>
        <w:tc>
          <w:tcPr>
            <w:tcW w:w="2344" w:type="dxa"/>
            <w:vMerge w:val="continue"/>
            <w:noWrap w:val="0"/>
            <w:vAlign w:val="center"/>
          </w:tcPr>
          <w:p>
            <w:pPr>
              <w:spacing w:line="300" w:lineRule="exact"/>
              <w:jc w:val="center"/>
              <w:rPr>
                <w:rFonts w:hint="eastAsia" w:ascii="仿宋_GB2312" w:hAnsi="仿宋_GB2312" w:eastAsia="仿宋_GB2312" w:cs="仿宋_GB2312"/>
                <w:szCs w:val="21"/>
              </w:rPr>
            </w:pPr>
          </w:p>
        </w:tc>
        <w:tc>
          <w:tcPr>
            <w:tcW w:w="6191" w:type="dxa"/>
            <w:noWrap w:val="0"/>
            <w:vAlign w:val="top"/>
          </w:tcPr>
          <w:p>
            <w:pPr>
              <w:pStyle w:val="6"/>
              <w:spacing w:line="300" w:lineRule="exact"/>
              <w:ind w:left="103"/>
              <w:rPr>
                <w:rFonts w:hint="eastAsia" w:ascii="仿宋_GB2312" w:hAnsi="仿宋_GB2312" w:eastAsia="仿宋_GB2312" w:cs="仿宋_GB2312"/>
                <w:szCs w:val="21"/>
              </w:rPr>
            </w:pPr>
            <w:r>
              <w:rPr>
                <w:rFonts w:hint="eastAsia" w:ascii="仿宋_GB2312" w:hAnsi="仿宋_GB2312" w:eastAsia="仿宋_GB2312" w:cs="仿宋_GB2312"/>
                <w:szCs w:val="21"/>
              </w:rPr>
              <w:t>氯菊-S生物烯丙菊酯水乳剂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exact"/>
          <w:jc w:val="center"/>
        </w:trPr>
        <w:tc>
          <w:tcPr>
            <w:tcW w:w="2344" w:type="dxa"/>
            <w:vMerge w:val="continue"/>
            <w:noWrap w:val="0"/>
            <w:vAlign w:val="center"/>
          </w:tcPr>
          <w:p>
            <w:pPr>
              <w:spacing w:line="300" w:lineRule="exact"/>
              <w:jc w:val="center"/>
              <w:rPr>
                <w:rFonts w:hint="eastAsia" w:ascii="仿宋_GB2312" w:hAnsi="仿宋_GB2312" w:eastAsia="仿宋_GB2312" w:cs="仿宋_GB2312"/>
                <w:szCs w:val="21"/>
              </w:rPr>
            </w:pPr>
          </w:p>
        </w:tc>
        <w:tc>
          <w:tcPr>
            <w:tcW w:w="6191" w:type="dxa"/>
            <w:noWrap w:val="0"/>
            <w:vAlign w:val="top"/>
          </w:tcPr>
          <w:p>
            <w:pPr>
              <w:pStyle w:val="6"/>
              <w:spacing w:line="300" w:lineRule="exact"/>
              <w:ind w:left="103"/>
              <w:rPr>
                <w:rFonts w:hint="eastAsia" w:ascii="仿宋_GB2312" w:hAnsi="仿宋_GB2312" w:eastAsia="仿宋_GB2312" w:cs="仿宋_GB2312"/>
                <w:szCs w:val="21"/>
              </w:rPr>
            </w:pPr>
            <w:r>
              <w:rPr>
                <w:rFonts w:hint="eastAsia" w:ascii="仿宋_GB2312" w:hAnsi="仿宋_GB2312" w:eastAsia="仿宋_GB2312" w:cs="仿宋_GB2312"/>
                <w:szCs w:val="21"/>
              </w:rPr>
              <w:t>9%烯丙氯菊乳油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exact"/>
          <w:jc w:val="center"/>
        </w:trPr>
        <w:tc>
          <w:tcPr>
            <w:tcW w:w="2344" w:type="dxa"/>
            <w:vMerge w:val="continue"/>
            <w:noWrap w:val="0"/>
            <w:vAlign w:val="center"/>
          </w:tcPr>
          <w:p>
            <w:pPr>
              <w:spacing w:line="300" w:lineRule="exact"/>
              <w:jc w:val="center"/>
              <w:rPr>
                <w:rFonts w:hint="eastAsia" w:ascii="仿宋_GB2312" w:hAnsi="仿宋_GB2312" w:eastAsia="仿宋_GB2312" w:cs="仿宋_GB2312"/>
                <w:szCs w:val="21"/>
              </w:rPr>
            </w:pPr>
          </w:p>
        </w:tc>
        <w:tc>
          <w:tcPr>
            <w:tcW w:w="6191" w:type="dxa"/>
            <w:noWrap w:val="0"/>
            <w:vAlign w:val="top"/>
          </w:tcPr>
          <w:p>
            <w:pPr>
              <w:pStyle w:val="6"/>
              <w:spacing w:line="300" w:lineRule="exact"/>
              <w:ind w:left="103"/>
              <w:rPr>
                <w:rFonts w:hint="eastAsia" w:ascii="仿宋_GB2312" w:hAnsi="仿宋_GB2312" w:eastAsia="仿宋_GB2312" w:cs="仿宋_GB2312"/>
                <w:szCs w:val="21"/>
              </w:rPr>
            </w:pPr>
            <w:r>
              <w:rPr>
                <w:rFonts w:hint="eastAsia" w:ascii="仿宋_GB2312" w:hAnsi="仿宋_GB2312" w:eastAsia="仿宋_GB2312" w:cs="仿宋_GB2312"/>
                <w:szCs w:val="21"/>
              </w:rPr>
              <w:t>10.5%烯丙氯菊乳油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exact"/>
          <w:jc w:val="center"/>
        </w:trPr>
        <w:tc>
          <w:tcPr>
            <w:tcW w:w="2344" w:type="dxa"/>
            <w:vMerge w:val="continue"/>
            <w:noWrap w:val="0"/>
            <w:vAlign w:val="center"/>
          </w:tcPr>
          <w:p>
            <w:pPr>
              <w:spacing w:line="300" w:lineRule="exact"/>
              <w:jc w:val="center"/>
              <w:rPr>
                <w:rFonts w:hint="eastAsia" w:ascii="仿宋_GB2312" w:hAnsi="仿宋_GB2312" w:eastAsia="仿宋_GB2312" w:cs="仿宋_GB2312"/>
                <w:szCs w:val="21"/>
              </w:rPr>
            </w:pPr>
          </w:p>
        </w:tc>
        <w:tc>
          <w:tcPr>
            <w:tcW w:w="6191" w:type="dxa"/>
            <w:noWrap w:val="0"/>
            <w:vAlign w:val="top"/>
          </w:tcPr>
          <w:p>
            <w:pPr>
              <w:pStyle w:val="6"/>
              <w:spacing w:line="300" w:lineRule="exact"/>
              <w:ind w:left="103"/>
              <w:rPr>
                <w:rFonts w:hint="eastAsia" w:ascii="仿宋_GB2312" w:hAnsi="仿宋_GB2312" w:eastAsia="仿宋_GB2312" w:cs="仿宋_GB2312"/>
                <w:szCs w:val="21"/>
              </w:rPr>
            </w:pPr>
            <w:r>
              <w:rPr>
                <w:rFonts w:hint="eastAsia" w:ascii="仿宋_GB2312" w:hAnsi="仿宋_GB2312" w:eastAsia="仿宋_GB2312" w:cs="仿宋_GB2312"/>
                <w:szCs w:val="21"/>
              </w:rPr>
              <w:t>10.4%烯丙氯菊</w:t>
            </w:r>
          </w:p>
          <w:p>
            <w:pPr>
              <w:pStyle w:val="6"/>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高效氯氰菊酯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exact"/>
          <w:jc w:val="center"/>
        </w:trPr>
        <w:tc>
          <w:tcPr>
            <w:tcW w:w="2344" w:type="dxa"/>
            <w:vMerge w:val="continue"/>
            <w:noWrap w:val="0"/>
            <w:vAlign w:val="center"/>
          </w:tcPr>
          <w:p>
            <w:pPr>
              <w:spacing w:line="300" w:lineRule="exact"/>
              <w:jc w:val="center"/>
              <w:rPr>
                <w:rFonts w:hint="eastAsia" w:ascii="仿宋_GB2312" w:hAnsi="仿宋_GB2312" w:eastAsia="仿宋_GB2312" w:cs="仿宋_GB2312"/>
                <w:szCs w:val="21"/>
              </w:rPr>
            </w:pPr>
          </w:p>
        </w:tc>
        <w:tc>
          <w:tcPr>
            <w:tcW w:w="6191" w:type="dxa"/>
            <w:noWrap w:val="0"/>
            <w:vAlign w:val="top"/>
          </w:tcPr>
          <w:p>
            <w:pPr>
              <w:pStyle w:val="6"/>
              <w:spacing w:line="300" w:lineRule="exact"/>
              <w:ind w:left="103"/>
              <w:rPr>
                <w:rFonts w:hint="eastAsia" w:ascii="仿宋_GB2312" w:hAnsi="仿宋_GB2312" w:eastAsia="仿宋_GB2312" w:cs="仿宋_GB2312"/>
                <w:szCs w:val="21"/>
              </w:rPr>
            </w:pPr>
            <w:r>
              <w:rPr>
                <w:rFonts w:hint="eastAsia" w:ascii="仿宋_GB2312" w:hAnsi="仿宋_GB2312" w:eastAsia="仿宋_GB2312" w:cs="仿宋_GB2312"/>
                <w:szCs w:val="21"/>
              </w:rPr>
              <w:t>烯丙氯菊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exact"/>
          <w:jc w:val="center"/>
        </w:trPr>
        <w:tc>
          <w:tcPr>
            <w:tcW w:w="2344" w:type="dxa"/>
            <w:vMerge w:val="continue"/>
            <w:noWrap w:val="0"/>
            <w:vAlign w:val="center"/>
          </w:tcPr>
          <w:p>
            <w:pPr>
              <w:spacing w:line="300" w:lineRule="exact"/>
              <w:jc w:val="center"/>
              <w:rPr>
                <w:rFonts w:hint="eastAsia" w:ascii="仿宋_GB2312" w:hAnsi="仿宋_GB2312" w:eastAsia="仿宋_GB2312" w:cs="仿宋_GB2312"/>
                <w:szCs w:val="21"/>
              </w:rPr>
            </w:pPr>
          </w:p>
        </w:tc>
        <w:tc>
          <w:tcPr>
            <w:tcW w:w="6191" w:type="dxa"/>
            <w:noWrap w:val="0"/>
            <w:vAlign w:val="top"/>
          </w:tcPr>
          <w:p>
            <w:pPr>
              <w:pStyle w:val="6"/>
              <w:spacing w:line="300" w:lineRule="exact"/>
              <w:ind w:left="103"/>
              <w:rPr>
                <w:rFonts w:hint="eastAsia" w:ascii="仿宋_GB2312" w:hAnsi="仿宋_GB2312" w:eastAsia="仿宋_GB2312" w:cs="仿宋_GB2312"/>
                <w:szCs w:val="21"/>
              </w:rPr>
            </w:pPr>
            <w:r>
              <w:rPr>
                <w:rFonts w:hint="eastAsia" w:ascii="仿宋_GB2312" w:hAnsi="仿宋_GB2312" w:eastAsia="仿宋_GB2312" w:cs="仿宋_GB2312"/>
                <w:szCs w:val="21"/>
              </w:rPr>
              <w:t>处理幼虫：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exact"/>
          <w:jc w:val="center"/>
        </w:trPr>
        <w:tc>
          <w:tcPr>
            <w:tcW w:w="2344" w:type="dxa"/>
            <w:vMerge w:val="continue"/>
            <w:noWrap w:val="0"/>
            <w:vAlign w:val="center"/>
          </w:tcPr>
          <w:p>
            <w:pPr>
              <w:spacing w:line="300" w:lineRule="exact"/>
              <w:jc w:val="center"/>
              <w:rPr>
                <w:rFonts w:hint="eastAsia" w:ascii="仿宋_GB2312" w:hAnsi="仿宋_GB2312" w:eastAsia="仿宋_GB2312" w:cs="仿宋_GB2312"/>
                <w:szCs w:val="21"/>
              </w:rPr>
            </w:pPr>
          </w:p>
        </w:tc>
        <w:tc>
          <w:tcPr>
            <w:tcW w:w="6191" w:type="dxa"/>
            <w:noWrap w:val="0"/>
            <w:vAlign w:val="top"/>
          </w:tcPr>
          <w:p>
            <w:pPr>
              <w:pStyle w:val="6"/>
              <w:spacing w:line="300" w:lineRule="exact"/>
              <w:ind w:left="103"/>
              <w:rPr>
                <w:rFonts w:hint="eastAsia" w:ascii="仿宋_GB2312" w:hAnsi="仿宋_GB2312" w:eastAsia="仿宋_GB2312" w:cs="仿宋_GB2312"/>
                <w:szCs w:val="21"/>
              </w:rPr>
            </w:pPr>
            <w:r>
              <w:rPr>
                <w:rFonts w:hint="eastAsia" w:ascii="仿宋_GB2312" w:hAnsi="仿宋_GB2312" w:eastAsia="仿宋_GB2312" w:cs="仿宋_GB2312"/>
                <w:szCs w:val="21"/>
              </w:rPr>
              <w:t>灭蚊幼料剂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exact"/>
          <w:jc w:val="center"/>
        </w:trPr>
        <w:tc>
          <w:tcPr>
            <w:tcW w:w="2344" w:type="dxa"/>
            <w:vMerge w:val="continue"/>
            <w:noWrap w:val="0"/>
            <w:vAlign w:val="center"/>
          </w:tcPr>
          <w:p>
            <w:pPr>
              <w:spacing w:line="300" w:lineRule="exact"/>
              <w:jc w:val="center"/>
              <w:rPr>
                <w:rFonts w:hint="eastAsia" w:ascii="仿宋_GB2312" w:hAnsi="仿宋_GB2312" w:eastAsia="仿宋_GB2312" w:cs="仿宋_GB2312"/>
                <w:szCs w:val="21"/>
              </w:rPr>
            </w:pPr>
          </w:p>
        </w:tc>
        <w:tc>
          <w:tcPr>
            <w:tcW w:w="6191" w:type="dxa"/>
            <w:noWrap w:val="0"/>
            <w:vAlign w:val="top"/>
          </w:tcPr>
          <w:p>
            <w:pPr>
              <w:pStyle w:val="6"/>
              <w:spacing w:line="300" w:lineRule="exact"/>
              <w:ind w:left="103"/>
              <w:rPr>
                <w:rFonts w:hint="eastAsia" w:ascii="仿宋_GB2312" w:hAnsi="仿宋_GB2312" w:eastAsia="仿宋_GB2312" w:cs="仿宋_GB2312"/>
                <w:szCs w:val="21"/>
              </w:rPr>
            </w:pPr>
            <w:r>
              <w:rPr>
                <w:rFonts w:hint="eastAsia" w:ascii="仿宋_GB2312" w:hAnsi="仿宋_GB2312" w:eastAsia="仿宋_GB2312" w:cs="仿宋_GB2312"/>
                <w:szCs w:val="21"/>
              </w:rPr>
              <w:t>5%陪硫磷颗粒剂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344" w:type="dxa"/>
            <w:vMerge w:val="continue"/>
            <w:noWrap w:val="0"/>
            <w:vAlign w:val="center"/>
          </w:tcPr>
          <w:p>
            <w:pPr>
              <w:spacing w:line="300" w:lineRule="exact"/>
              <w:jc w:val="center"/>
              <w:rPr>
                <w:rFonts w:hint="eastAsia" w:ascii="仿宋_GB2312" w:hAnsi="仿宋_GB2312" w:eastAsia="仿宋_GB2312" w:cs="仿宋_GB2312"/>
                <w:szCs w:val="21"/>
              </w:rPr>
            </w:pPr>
          </w:p>
        </w:tc>
        <w:tc>
          <w:tcPr>
            <w:tcW w:w="6191" w:type="dxa"/>
            <w:noWrap w:val="0"/>
            <w:vAlign w:val="top"/>
          </w:tcPr>
          <w:p>
            <w:pPr>
              <w:pStyle w:val="6"/>
              <w:spacing w:line="300" w:lineRule="exact"/>
              <w:ind w:left="103"/>
              <w:rPr>
                <w:rFonts w:hint="eastAsia" w:ascii="仿宋_GB2312" w:hAnsi="仿宋_GB2312" w:eastAsia="仿宋_GB2312" w:cs="仿宋_GB2312"/>
                <w:szCs w:val="21"/>
              </w:rPr>
            </w:pPr>
            <w:r>
              <w:rPr>
                <w:rFonts w:hint="eastAsia" w:ascii="仿宋_GB2312" w:hAnsi="仿宋_GB2312" w:eastAsia="仿宋_GB2312" w:cs="仿宋_GB2312"/>
                <w:szCs w:val="21"/>
              </w:rPr>
              <w:t>100ITU苏云杆菌以色列亚种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exact"/>
          <w:jc w:val="center"/>
        </w:trPr>
        <w:tc>
          <w:tcPr>
            <w:tcW w:w="2344" w:type="dxa"/>
            <w:vMerge w:val="continue"/>
            <w:noWrap w:val="0"/>
            <w:vAlign w:val="center"/>
          </w:tcPr>
          <w:p>
            <w:pPr>
              <w:spacing w:line="300" w:lineRule="exact"/>
              <w:jc w:val="center"/>
              <w:rPr>
                <w:rFonts w:hint="eastAsia" w:ascii="仿宋_GB2312" w:hAnsi="仿宋_GB2312" w:eastAsia="仿宋_GB2312" w:cs="仿宋_GB2312"/>
                <w:szCs w:val="21"/>
              </w:rPr>
            </w:pPr>
          </w:p>
        </w:tc>
        <w:tc>
          <w:tcPr>
            <w:tcW w:w="6191" w:type="dxa"/>
            <w:noWrap w:val="0"/>
            <w:vAlign w:val="top"/>
          </w:tcPr>
          <w:p>
            <w:pPr>
              <w:pStyle w:val="6"/>
              <w:spacing w:line="300" w:lineRule="exact"/>
              <w:ind w:left="103"/>
              <w:rPr>
                <w:rFonts w:hint="eastAsia" w:ascii="仿宋_GB2312" w:hAnsi="仿宋_GB2312" w:eastAsia="仿宋_GB2312" w:cs="仿宋_GB2312"/>
                <w:szCs w:val="21"/>
              </w:rPr>
            </w:pPr>
            <w:r>
              <w:rPr>
                <w:rFonts w:hint="eastAsia" w:ascii="仿宋_GB2312" w:hAnsi="仿宋_GB2312" w:eastAsia="仿宋_GB2312" w:cs="仿宋_GB2312"/>
                <w:szCs w:val="21"/>
              </w:rPr>
              <w:t>仲丁醚杀幼虫剂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exact"/>
          <w:jc w:val="center"/>
        </w:trPr>
        <w:tc>
          <w:tcPr>
            <w:tcW w:w="2344" w:type="dxa"/>
            <w:vMerge w:val="continue"/>
            <w:noWrap w:val="0"/>
            <w:vAlign w:val="center"/>
          </w:tcPr>
          <w:p>
            <w:pPr>
              <w:spacing w:line="300" w:lineRule="exact"/>
              <w:jc w:val="center"/>
              <w:rPr>
                <w:rFonts w:hint="eastAsia" w:ascii="仿宋_GB2312" w:hAnsi="仿宋_GB2312" w:eastAsia="仿宋_GB2312" w:cs="仿宋_GB2312"/>
                <w:szCs w:val="21"/>
              </w:rPr>
            </w:pPr>
          </w:p>
        </w:tc>
        <w:tc>
          <w:tcPr>
            <w:tcW w:w="6191" w:type="dxa"/>
            <w:noWrap w:val="0"/>
            <w:vAlign w:val="top"/>
          </w:tcPr>
          <w:p>
            <w:pPr>
              <w:pStyle w:val="6"/>
              <w:spacing w:line="300" w:lineRule="exact"/>
              <w:ind w:left="103"/>
              <w:rPr>
                <w:rFonts w:hint="eastAsia" w:ascii="仿宋_GB2312" w:hAnsi="仿宋_GB2312" w:eastAsia="仿宋_GB2312" w:cs="仿宋_GB2312"/>
                <w:szCs w:val="21"/>
              </w:rPr>
            </w:pPr>
            <w:r>
              <w:rPr>
                <w:rFonts w:hint="eastAsia" w:ascii="仿宋_GB2312" w:hAnsi="仿宋_GB2312" w:eastAsia="仿宋_GB2312" w:cs="仿宋_GB2312"/>
                <w:szCs w:val="21"/>
              </w:rPr>
              <w:t>缓释剂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exact"/>
          <w:jc w:val="center"/>
        </w:trPr>
        <w:tc>
          <w:tcPr>
            <w:tcW w:w="2344" w:type="dxa"/>
            <w:vMerge w:val="restart"/>
            <w:noWrap w:val="0"/>
            <w:vAlign w:val="center"/>
          </w:tcPr>
          <w:p>
            <w:pPr>
              <w:pStyle w:val="6"/>
              <w:spacing w:line="300" w:lineRule="exact"/>
              <w:ind w:right="785"/>
              <w:jc w:val="center"/>
              <w:rPr>
                <w:rFonts w:hint="eastAsia" w:ascii="仿宋_GB2312" w:hAnsi="仿宋_GB2312" w:eastAsia="仿宋_GB2312" w:cs="仿宋_GB2312"/>
                <w:szCs w:val="21"/>
              </w:rPr>
            </w:pPr>
            <w:r>
              <w:rPr>
                <w:rFonts w:hint="eastAsia" w:ascii="仿宋_GB2312" w:hAnsi="仿宋_GB2312" w:eastAsia="仿宋_GB2312" w:cs="仿宋_GB2312"/>
                <w:szCs w:val="21"/>
              </w:rPr>
              <w:t>灭</w:t>
            </w:r>
            <w:r>
              <w:rPr>
                <w:rFonts w:hint="eastAsia" w:ascii="仿宋_GB2312" w:hAnsi="仿宋_GB2312" w:eastAsia="仿宋_GB2312" w:cs="仿宋_GB2312"/>
                <w:spacing w:val="2"/>
                <w:szCs w:val="21"/>
              </w:rPr>
              <w:t>蟑</w:t>
            </w:r>
            <w:r>
              <w:rPr>
                <w:rFonts w:hint="eastAsia" w:ascii="仿宋_GB2312" w:hAnsi="仿宋_GB2312" w:eastAsia="仿宋_GB2312" w:cs="仿宋_GB2312"/>
                <w:szCs w:val="21"/>
              </w:rPr>
              <w:t>：</w:t>
            </w:r>
          </w:p>
        </w:tc>
        <w:tc>
          <w:tcPr>
            <w:tcW w:w="6191" w:type="dxa"/>
            <w:noWrap w:val="0"/>
            <w:vAlign w:val="top"/>
          </w:tcPr>
          <w:p>
            <w:pPr>
              <w:pStyle w:val="6"/>
              <w:spacing w:line="300" w:lineRule="exact"/>
              <w:ind w:left="103"/>
              <w:rPr>
                <w:rFonts w:hint="eastAsia" w:ascii="仿宋_GB2312" w:hAnsi="仿宋_GB2312" w:eastAsia="仿宋_GB2312" w:cs="仿宋_GB2312"/>
                <w:szCs w:val="21"/>
              </w:rPr>
            </w:pPr>
            <w:r>
              <w:rPr>
                <w:rFonts w:hint="eastAsia" w:ascii="仿宋_GB2312" w:hAnsi="仿宋_GB2312" w:eastAsia="仿宋_GB2312" w:cs="仿宋_GB2312"/>
                <w:szCs w:val="21"/>
              </w:rPr>
              <w:t>2.5%杀蟑热雾剂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exact"/>
          <w:jc w:val="center"/>
        </w:trPr>
        <w:tc>
          <w:tcPr>
            <w:tcW w:w="2344" w:type="dxa"/>
            <w:vMerge w:val="continue"/>
            <w:noWrap w:val="0"/>
            <w:vAlign w:val="top"/>
          </w:tcPr>
          <w:p>
            <w:pPr>
              <w:spacing w:line="300" w:lineRule="exact"/>
              <w:rPr>
                <w:rFonts w:hint="eastAsia" w:ascii="仿宋_GB2312" w:hAnsi="仿宋_GB2312" w:eastAsia="仿宋_GB2312" w:cs="仿宋_GB2312"/>
                <w:szCs w:val="21"/>
              </w:rPr>
            </w:pPr>
          </w:p>
        </w:tc>
        <w:tc>
          <w:tcPr>
            <w:tcW w:w="6191" w:type="dxa"/>
            <w:noWrap w:val="0"/>
            <w:vAlign w:val="top"/>
          </w:tcPr>
          <w:p>
            <w:pPr>
              <w:pStyle w:val="6"/>
              <w:spacing w:line="300" w:lineRule="exact"/>
              <w:ind w:left="103"/>
              <w:rPr>
                <w:rFonts w:hint="eastAsia" w:ascii="仿宋_GB2312" w:hAnsi="仿宋_GB2312" w:eastAsia="仿宋_GB2312" w:cs="仿宋_GB2312"/>
                <w:szCs w:val="21"/>
              </w:rPr>
            </w:pPr>
            <w:r>
              <w:rPr>
                <w:rFonts w:hint="eastAsia" w:ascii="仿宋_GB2312" w:hAnsi="仿宋_GB2312" w:eastAsia="仿宋_GB2312" w:cs="仿宋_GB2312"/>
                <w:szCs w:val="21"/>
              </w:rPr>
              <w:t>2.5%残杀威氯氰菊酯热雾剂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exact"/>
          <w:jc w:val="center"/>
        </w:trPr>
        <w:tc>
          <w:tcPr>
            <w:tcW w:w="2344" w:type="dxa"/>
            <w:vMerge w:val="continue"/>
            <w:noWrap w:val="0"/>
            <w:vAlign w:val="top"/>
          </w:tcPr>
          <w:p>
            <w:pPr>
              <w:spacing w:line="300" w:lineRule="exact"/>
              <w:rPr>
                <w:rFonts w:hint="eastAsia" w:ascii="仿宋_GB2312" w:hAnsi="仿宋_GB2312" w:eastAsia="仿宋_GB2312" w:cs="仿宋_GB2312"/>
                <w:szCs w:val="21"/>
              </w:rPr>
            </w:pPr>
          </w:p>
        </w:tc>
        <w:tc>
          <w:tcPr>
            <w:tcW w:w="6191" w:type="dxa"/>
            <w:noWrap w:val="0"/>
            <w:vAlign w:val="top"/>
          </w:tcPr>
          <w:p>
            <w:pPr>
              <w:pStyle w:val="6"/>
              <w:spacing w:line="300" w:lineRule="exact"/>
              <w:ind w:left="103"/>
              <w:rPr>
                <w:rFonts w:hint="eastAsia" w:ascii="仿宋_GB2312" w:hAnsi="仿宋_GB2312" w:eastAsia="仿宋_GB2312" w:cs="仿宋_GB2312"/>
                <w:szCs w:val="21"/>
              </w:rPr>
            </w:pPr>
            <w:r>
              <w:rPr>
                <w:rFonts w:hint="eastAsia" w:ascii="仿宋_GB2312" w:hAnsi="仿宋_GB2312" w:eastAsia="仿宋_GB2312" w:cs="仿宋_GB2312"/>
                <w:szCs w:val="21"/>
              </w:rPr>
              <w:t>2.5%杀蟑烟剂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exact"/>
          <w:jc w:val="center"/>
        </w:trPr>
        <w:tc>
          <w:tcPr>
            <w:tcW w:w="2344" w:type="dxa"/>
            <w:vMerge w:val="continue"/>
            <w:noWrap w:val="0"/>
            <w:vAlign w:val="top"/>
          </w:tcPr>
          <w:p>
            <w:pPr>
              <w:spacing w:line="300" w:lineRule="exact"/>
              <w:rPr>
                <w:rFonts w:hint="eastAsia" w:ascii="仿宋_GB2312" w:hAnsi="仿宋_GB2312" w:eastAsia="仿宋_GB2312" w:cs="仿宋_GB2312"/>
                <w:szCs w:val="21"/>
              </w:rPr>
            </w:pPr>
          </w:p>
        </w:tc>
        <w:tc>
          <w:tcPr>
            <w:tcW w:w="6191" w:type="dxa"/>
            <w:noWrap w:val="0"/>
            <w:vAlign w:val="top"/>
          </w:tcPr>
          <w:p>
            <w:pPr>
              <w:pStyle w:val="6"/>
              <w:spacing w:line="300" w:lineRule="exact"/>
              <w:ind w:left="103"/>
              <w:rPr>
                <w:rFonts w:hint="eastAsia" w:ascii="仿宋_GB2312" w:hAnsi="仿宋_GB2312" w:eastAsia="仿宋_GB2312" w:cs="仿宋_GB2312"/>
                <w:szCs w:val="21"/>
              </w:rPr>
            </w:pPr>
            <w:r>
              <w:rPr>
                <w:rFonts w:hint="eastAsia" w:ascii="仿宋_GB2312" w:hAnsi="仿宋_GB2312" w:eastAsia="仿宋_GB2312" w:cs="仿宋_GB2312"/>
                <w:szCs w:val="21"/>
              </w:rPr>
              <w:t>0.5%溴氰菊酯杀蟑笔剂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exact"/>
          <w:jc w:val="center"/>
        </w:trPr>
        <w:tc>
          <w:tcPr>
            <w:tcW w:w="2344" w:type="dxa"/>
            <w:vMerge w:val="continue"/>
            <w:noWrap w:val="0"/>
            <w:vAlign w:val="top"/>
          </w:tcPr>
          <w:p>
            <w:pPr>
              <w:spacing w:line="300" w:lineRule="exact"/>
              <w:rPr>
                <w:rFonts w:hint="eastAsia" w:ascii="仿宋_GB2312" w:hAnsi="仿宋_GB2312" w:eastAsia="仿宋_GB2312" w:cs="仿宋_GB2312"/>
                <w:szCs w:val="21"/>
              </w:rPr>
            </w:pPr>
          </w:p>
        </w:tc>
        <w:tc>
          <w:tcPr>
            <w:tcW w:w="6191" w:type="dxa"/>
            <w:noWrap w:val="0"/>
            <w:vAlign w:val="top"/>
          </w:tcPr>
          <w:p>
            <w:pPr>
              <w:pStyle w:val="6"/>
              <w:spacing w:line="300" w:lineRule="exact"/>
              <w:ind w:left="103"/>
              <w:rPr>
                <w:rFonts w:hint="eastAsia" w:ascii="仿宋_GB2312" w:hAnsi="仿宋_GB2312" w:eastAsia="仿宋_GB2312" w:cs="仿宋_GB2312"/>
                <w:szCs w:val="21"/>
              </w:rPr>
            </w:pPr>
            <w:r>
              <w:rPr>
                <w:rFonts w:hint="eastAsia" w:ascii="仿宋_GB2312" w:hAnsi="仿宋_GB2312" w:eastAsia="仿宋_GB2312" w:cs="仿宋_GB2312"/>
                <w:szCs w:val="21"/>
              </w:rPr>
              <w:t>本治毒饵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exact"/>
          <w:jc w:val="center"/>
        </w:trPr>
        <w:tc>
          <w:tcPr>
            <w:tcW w:w="2344" w:type="dxa"/>
            <w:vMerge w:val="continue"/>
            <w:noWrap w:val="0"/>
            <w:vAlign w:val="top"/>
          </w:tcPr>
          <w:p>
            <w:pPr>
              <w:spacing w:line="300" w:lineRule="exact"/>
              <w:rPr>
                <w:rFonts w:hint="eastAsia" w:ascii="仿宋_GB2312" w:hAnsi="仿宋_GB2312" w:eastAsia="仿宋_GB2312" w:cs="仿宋_GB2312"/>
                <w:szCs w:val="21"/>
              </w:rPr>
            </w:pPr>
          </w:p>
        </w:tc>
        <w:tc>
          <w:tcPr>
            <w:tcW w:w="6191" w:type="dxa"/>
            <w:noWrap w:val="0"/>
            <w:vAlign w:val="top"/>
          </w:tcPr>
          <w:p>
            <w:pPr>
              <w:pStyle w:val="6"/>
              <w:spacing w:line="300" w:lineRule="exact"/>
              <w:ind w:left="103"/>
              <w:rPr>
                <w:rFonts w:hint="eastAsia" w:ascii="仿宋_GB2312" w:hAnsi="仿宋_GB2312" w:eastAsia="仿宋_GB2312" w:cs="仿宋_GB2312"/>
                <w:szCs w:val="21"/>
              </w:rPr>
            </w:pPr>
            <w:r>
              <w:rPr>
                <w:rFonts w:hint="eastAsia" w:ascii="仿宋_GB2312" w:hAnsi="仿宋_GB2312" w:eastAsia="仿宋_GB2312" w:cs="仿宋_GB2312"/>
                <w:szCs w:val="21"/>
              </w:rPr>
              <w:t>灭蟑饵方便贴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exact"/>
          <w:jc w:val="center"/>
        </w:trPr>
        <w:tc>
          <w:tcPr>
            <w:tcW w:w="2344" w:type="dxa"/>
            <w:vMerge w:val="continue"/>
            <w:noWrap w:val="0"/>
            <w:vAlign w:val="top"/>
          </w:tcPr>
          <w:p>
            <w:pPr>
              <w:spacing w:line="300" w:lineRule="exact"/>
              <w:rPr>
                <w:rFonts w:hint="eastAsia" w:ascii="仿宋_GB2312" w:hAnsi="仿宋_GB2312" w:eastAsia="仿宋_GB2312" w:cs="仿宋_GB2312"/>
                <w:szCs w:val="21"/>
              </w:rPr>
            </w:pPr>
          </w:p>
        </w:tc>
        <w:tc>
          <w:tcPr>
            <w:tcW w:w="6191" w:type="dxa"/>
            <w:noWrap w:val="0"/>
            <w:vAlign w:val="top"/>
          </w:tcPr>
          <w:p>
            <w:pPr>
              <w:pStyle w:val="6"/>
              <w:spacing w:line="300" w:lineRule="exact"/>
              <w:ind w:left="103"/>
              <w:rPr>
                <w:rFonts w:hint="eastAsia" w:ascii="仿宋_GB2312" w:hAnsi="仿宋_GB2312" w:eastAsia="仿宋_GB2312" w:cs="仿宋_GB2312"/>
                <w:szCs w:val="21"/>
              </w:rPr>
            </w:pPr>
            <w:r>
              <w:rPr>
                <w:rFonts w:hint="eastAsia" w:ascii="仿宋_GB2312" w:hAnsi="仿宋_GB2312" w:eastAsia="仿宋_GB2312" w:cs="仿宋_GB2312"/>
                <w:szCs w:val="21"/>
              </w:rPr>
              <w:t>12%硼酸杀蟑胶饵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exact"/>
          <w:jc w:val="center"/>
        </w:trPr>
        <w:tc>
          <w:tcPr>
            <w:tcW w:w="2344" w:type="dxa"/>
            <w:vMerge w:val="continue"/>
            <w:noWrap w:val="0"/>
            <w:vAlign w:val="top"/>
          </w:tcPr>
          <w:p>
            <w:pPr>
              <w:spacing w:line="300" w:lineRule="exact"/>
              <w:rPr>
                <w:rFonts w:hint="eastAsia" w:ascii="仿宋_GB2312" w:hAnsi="仿宋_GB2312" w:eastAsia="仿宋_GB2312" w:cs="仿宋_GB2312"/>
                <w:szCs w:val="21"/>
              </w:rPr>
            </w:pPr>
          </w:p>
        </w:tc>
        <w:tc>
          <w:tcPr>
            <w:tcW w:w="6191" w:type="dxa"/>
            <w:noWrap w:val="0"/>
            <w:vAlign w:val="top"/>
          </w:tcPr>
          <w:p>
            <w:pPr>
              <w:pStyle w:val="6"/>
              <w:spacing w:line="300" w:lineRule="exact"/>
              <w:ind w:left="103"/>
              <w:rPr>
                <w:rFonts w:hint="eastAsia" w:ascii="仿宋_GB2312" w:hAnsi="仿宋_GB2312" w:eastAsia="仿宋_GB2312" w:cs="仿宋_GB2312"/>
                <w:szCs w:val="21"/>
              </w:rPr>
            </w:pPr>
            <w:r>
              <w:rPr>
                <w:rFonts w:hint="eastAsia" w:ascii="仿宋_GB2312" w:hAnsi="仿宋_GB2312" w:eastAsia="仿宋_GB2312" w:cs="仿宋_GB2312"/>
                <w:szCs w:val="21"/>
              </w:rPr>
              <w:t>高效氯菊酯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exact"/>
          <w:jc w:val="center"/>
        </w:trPr>
        <w:tc>
          <w:tcPr>
            <w:tcW w:w="2344" w:type="dxa"/>
            <w:vMerge w:val="restart"/>
            <w:noWrap w:val="0"/>
            <w:vAlign w:val="top"/>
          </w:tcPr>
          <w:p>
            <w:pPr>
              <w:pStyle w:val="6"/>
              <w:spacing w:line="300" w:lineRule="exact"/>
              <w:rPr>
                <w:rFonts w:hint="eastAsia" w:ascii="仿宋_GB2312" w:hAnsi="仿宋_GB2312" w:eastAsia="仿宋_GB2312" w:cs="仿宋_GB2312"/>
                <w:szCs w:val="21"/>
              </w:rPr>
            </w:pPr>
          </w:p>
          <w:p>
            <w:pPr>
              <w:pStyle w:val="6"/>
              <w:spacing w:line="300" w:lineRule="exact"/>
              <w:jc w:val="center"/>
              <w:rPr>
                <w:rFonts w:hint="eastAsia" w:ascii="仿宋_GB2312" w:hAnsi="仿宋_GB2312" w:eastAsia="仿宋_GB2312" w:cs="仿宋_GB2312"/>
                <w:szCs w:val="21"/>
              </w:rPr>
            </w:pPr>
          </w:p>
          <w:p>
            <w:pPr>
              <w:pStyle w:val="6"/>
              <w:spacing w:line="300" w:lineRule="exact"/>
              <w:jc w:val="center"/>
              <w:rPr>
                <w:rFonts w:hint="eastAsia" w:ascii="仿宋_GB2312" w:hAnsi="仿宋_GB2312" w:eastAsia="仿宋_GB2312" w:cs="仿宋_GB2312"/>
                <w:szCs w:val="21"/>
              </w:rPr>
            </w:pPr>
          </w:p>
          <w:p>
            <w:pPr>
              <w:pStyle w:val="6"/>
              <w:spacing w:line="300" w:lineRule="exact"/>
              <w:ind w:right="785"/>
              <w:jc w:val="center"/>
              <w:rPr>
                <w:rFonts w:hint="eastAsia" w:ascii="仿宋_GB2312" w:hAnsi="仿宋_GB2312" w:eastAsia="仿宋_GB2312" w:cs="仿宋_GB2312"/>
                <w:szCs w:val="21"/>
              </w:rPr>
            </w:pPr>
            <w:r>
              <w:rPr>
                <w:rFonts w:hint="eastAsia" w:ascii="仿宋_GB2312" w:hAnsi="仿宋_GB2312" w:eastAsia="仿宋_GB2312" w:cs="仿宋_GB2312"/>
                <w:szCs w:val="21"/>
              </w:rPr>
              <w:t>灭</w:t>
            </w:r>
            <w:r>
              <w:rPr>
                <w:rFonts w:hint="eastAsia" w:ascii="仿宋_GB2312" w:hAnsi="仿宋_GB2312" w:eastAsia="仿宋_GB2312" w:cs="仿宋_GB2312"/>
                <w:spacing w:val="2"/>
                <w:szCs w:val="21"/>
              </w:rPr>
              <w:t>蝇</w:t>
            </w:r>
            <w:r>
              <w:rPr>
                <w:rFonts w:hint="eastAsia" w:ascii="仿宋_GB2312" w:hAnsi="仿宋_GB2312" w:eastAsia="仿宋_GB2312" w:cs="仿宋_GB2312"/>
                <w:szCs w:val="21"/>
              </w:rPr>
              <w:t>：</w:t>
            </w:r>
          </w:p>
        </w:tc>
        <w:tc>
          <w:tcPr>
            <w:tcW w:w="6191" w:type="dxa"/>
            <w:noWrap w:val="0"/>
            <w:vAlign w:val="top"/>
          </w:tcPr>
          <w:p>
            <w:pPr>
              <w:pStyle w:val="6"/>
              <w:spacing w:line="300" w:lineRule="exact"/>
              <w:ind w:left="103"/>
              <w:rPr>
                <w:rFonts w:hint="eastAsia" w:ascii="仿宋_GB2312" w:hAnsi="仿宋_GB2312" w:eastAsia="仿宋_GB2312" w:cs="仿宋_GB2312"/>
                <w:szCs w:val="21"/>
              </w:rPr>
            </w:pPr>
            <w:r>
              <w:rPr>
                <w:rFonts w:hint="eastAsia" w:ascii="仿宋_GB2312" w:hAnsi="仿宋_GB2312" w:eastAsia="仿宋_GB2312" w:cs="仿宋_GB2312"/>
                <w:szCs w:val="21"/>
              </w:rPr>
              <w:t>2%残杀光威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exact"/>
          <w:jc w:val="center"/>
        </w:trPr>
        <w:tc>
          <w:tcPr>
            <w:tcW w:w="2344" w:type="dxa"/>
            <w:vMerge w:val="continue"/>
            <w:noWrap w:val="0"/>
            <w:vAlign w:val="top"/>
          </w:tcPr>
          <w:p>
            <w:pPr>
              <w:spacing w:line="300" w:lineRule="exact"/>
              <w:rPr>
                <w:rFonts w:hint="eastAsia" w:ascii="仿宋_GB2312" w:hAnsi="仿宋_GB2312" w:eastAsia="仿宋_GB2312" w:cs="仿宋_GB2312"/>
                <w:szCs w:val="21"/>
              </w:rPr>
            </w:pPr>
          </w:p>
        </w:tc>
        <w:tc>
          <w:tcPr>
            <w:tcW w:w="6191" w:type="dxa"/>
            <w:noWrap w:val="0"/>
            <w:vAlign w:val="top"/>
          </w:tcPr>
          <w:p>
            <w:pPr>
              <w:pStyle w:val="6"/>
              <w:spacing w:line="300" w:lineRule="exact"/>
              <w:ind w:left="103"/>
              <w:rPr>
                <w:rFonts w:hint="eastAsia" w:ascii="仿宋_GB2312" w:hAnsi="仿宋_GB2312" w:eastAsia="仿宋_GB2312" w:cs="仿宋_GB2312"/>
                <w:szCs w:val="21"/>
              </w:rPr>
            </w:pPr>
            <w:r>
              <w:rPr>
                <w:rFonts w:hint="eastAsia" w:ascii="仿宋_GB2312" w:hAnsi="仿宋_GB2312" w:eastAsia="仿宋_GB2312" w:cs="仿宋_GB2312"/>
                <w:szCs w:val="21"/>
              </w:rPr>
              <w:t>6%氯氰.氯菊酯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2344" w:type="dxa"/>
            <w:vMerge w:val="continue"/>
            <w:noWrap w:val="0"/>
            <w:vAlign w:val="top"/>
          </w:tcPr>
          <w:p>
            <w:pPr>
              <w:spacing w:line="300" w:lineRule="exact"/>
              <w:rPr>
                <w:rFonts w:hint="eastAsia" w:ascii="仿宋_GB2312" w:hAnsi="仿宋_GB2312" w:eastAsia="仿宋_GB2312" w:cs="仿宋_GB2312"/>
                <w:szCs w:val="21"/>
              </w:rPr>
            </w:pPr>
          </w:p>
        </w:tc>
        <w:tc>
          <w:tcPr>
            <w:tcW w:w="6191" w:type="dxa"/>
            <w:noWrap w:val="0"/>
            <w:vAlign w:val="top"/>
          </w:tcPr>
          <w:p>
            <w:pPr>
              <w:pStyle w:val="6"/>
              <w:spacing w:line="300" w:lineRule="exact"/>
              <w:ind w:left="103"/>
              <w:rPr>
                <w:rFonts w:hint="eastAsia" w:ascii="仿宋_GB2312" w:hAnsi="仿宋_GB2312" w:eastAsia="仿宋_GB2312" w:cs="仿宋_GB2312"/>
                <w:szCs w:val="21"/>
              </w:rPr>
            </w:pPr>
            <w:r>
              <w:rPr>
                <w:rFonts w:hint="eastAsia" w:ascii="仿宋_GB2312" w:hAnsi="仿宋_GB2312" w:eastAsia="仿宋_GB2312" w:cs="仿宋_GB2312"/>
                <w:szCs w:val="21"/>
              </w:rPr>
              <w:t>8%高氯残杀威悬浮剂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exact"/>
          <w:jc w:val="center"/>
        </w:trPr>
        <w:tc>
          <w:tcPr>
            <w:tcW w:w="2344" w:type="dxa"/>
            <w:vMerge w:val="continue"/>
            <w:noWrap w:val="0"/>
            <w:vAlign w:val="top"/>
          </w:tcPr>
          <w:p>
            <w:pPr>
              <w:spacing w:line="300" w:lineRule="exact"/>
              <w:rPr>
                <w:rFonts w:hint="eastAsia" w:ascii="仿宋_GB2312" w:hAnsi="仿宋_GB2312" w:eastAsia="仿宋_GB2312" w:cs="仿宋_GB2312"/>
                <w:szCs w:val="21"/>
              </w:rPr>
            </w:pPr>
          </w:p>
        </w:tc>
        <w:tc>
          <w:tcPr>
            <w:tcW w:w="6191" w:type="dxa"/>
            <w:noWrap w:val="0"/>
            <w:vAlign w:val="top"/>
          </w:tcPr>
          <w:p>
            <w:pPr>
              <w:pStyle w:val="6"/>
              <w:spacing w:line="300" w:lineRule="exact"/>
              <w:ind w:left="103"/>
              <w:rPr>
                <w:rFonts w:hint="eastAsia" w:ascii="仿宋_GB2312" w:hAnsi="仿宋_GB2312" w:eastAsia="仿宋_GB2312" w:cs="仿宋_GB2312"/>
                <w:szCs w:val="21"/>
              </w:rPr>
            </w:pPr>
            <w:r>
              <w:rPr>
                <w:rFonts w:hint="eastAsia" w:ascii="仿宋_GB2312" w:hAnsi="仿宋_GB2312" w:eastAsia="仿宋_GB2312" w:cs="仿宋_GB2312"/>
                <w:szCs w:val="21"/>
              </w:rPr>
              <w:t>5%氯菊四氟醚乳剂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exact"/>
          <w:jc w:val="center"/>
        </w:trPr>
        <w:tc>
          <w:tcPr>
            <w:tcW w:w="2344" w:type="dxa"/>
            <w:vMerge w:val="continue"/>
            <w:noWrap w:val="0"/>
            <w:vAlign w:val="top"/>
          </w:tcPr>
          <w:p>
            <w:pPr>
              <w:spacing w:line="300" w:lineRule="exact"/>
              <w:rPr>
                <w:rFonts w:hint="eastAsia" w:ascii="仿宋_GB2312" w:hAnsi="仿宋_GB2312" w:eastAsia="仿宋_GB2312" w:cs="仿宋_GB2312"/>
                <w:szCs w:val="21"/>
              </w:rPr>
            </w:pPr>
          </w:p>
        </w:tc>
        <w:tc>
          <w:tcPr>
            <w:tcW w:w="6191" w:type="dxa"/>
            <w:noWrap w:val="0"/>
            <w:vAlign w:val="top"/>
          </w:tcPr>
          <w:p>
            <w:pPr>
              <w:pStyle w:val="6"/>
              <w:spacing w:line="300" w:lineRule="exact"/>
              <w:ind w:left="103"/>
              <w:rPr>
                <w:rFonts w:hint="eastAsia" w:ascii="仿宋_GB2312" w:hAnsi="仿宋_GB2312" w:eastAsia="仿宋_GB2312" w:cs="仿宋_GB2312"/>
                <w:szCs w:val="21"/>
              </w:rPr>
            </w:pPr>
            <w:r>
              <w:rPr>
                <w:rFonts w:hint="eastAsia" w:ascii="仿宋_GB2312" w:hAnsi="仿宋_GB2312" w:eastAsia="仿宋_GB2312" w:cs="仿宋_GB2312"/>
                <w:szCs w:val="21"/>
              </w:rPr>
              <w:t>顺式氯氰菊酯悬浮剂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exact"/>
          <w:jc w:val="center"/>
        </w:trPr>
        <w:tc>
          <w:tcPr>
            <w:tcW w:w="2344" w:type="dxa"/>
            <w:vMerge w:val="continue"/>
            <w:noWrap w:val="0"/>
            <w:vAlign w:val="top"/>
          </w:tcPr>
          <w:p>
            <w:pPr>
              <w:spacing w:line="300" w:lineRule="exact"/>
              <w:rPr>
                <w:rFonts w:hint="eastAsia" w:ascii="仿宋_GB2312" w:hAnsi="仿宋_GB2312" w:eastAsia="仿宋_GB2312" w:cs="仿宋_GB2312"/>
                <w:szCs w:val="21"/>
              </w:rPr>
            </w:pPr>
          </w:p>
        </w:tc>
        <w:tc>
          <w:tcPr>
            <w:tcW w:w="6191" w:type="dxa"/>
            <w:noWrap w:val="0"/>
            <w:vAlign w:val="top"/>
          </w:tcPr>
          <w:p>
            <w:pPr>
              <w:pStyle w:val="6"/>
              <w:spacing w:line="300" w:lineRule="exact"/>
              <w:ind w:left="103"/>
              <w:rPr>
                <w:rFonts w:hint="eastAsia" w:ascii="仿宋_GB2312" w:hAnsi="仿宋_GB2312" w:eastAsia="仿宋_GB2312" w:cs="仿宋_GB2312"/>
                <w:szCs w:val="21"/>
              </w:rPr>
            </w:pPr>
            <w:r>
              <w:rPr>
                <w:rFonts w:hint="eastAsia" w:ascii="仿宋_GB2312" w:hAnsi="仿宋_GB2312" w:eastAsia="仿宋_GB2312" w:cs="仿宋_GB2312"/>
                <w:szCs w:val="21"/>
              </w:rPr>
              <w:t>5%胺氯菊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exact"/>
          <w:jc w:val="center"/>
        </w:trPr>
        <w:tc>
          <w:tcPr>
            <w:tcW w:w="2344" w:type="dxa"/>
            <w:vMerge w:val="continue"/>
            <w:noWrap w:val="0"/>
            <w:vAlign w:val="top"/>
          </w:tcPr>
          <w:p>
            <w:pPr>
              <w:spacing w:line="300" w:lineRule="exact"/>
              <w:rPr>
                <w:rFonts w:hint="eastAsia" w:ascii="仿宋_GB2312" w:hAnsi="仿宋_GB2312" w:eastAsia="仿宋_GB2312" w:cs="仿宋_GB2312"/>
                <w:szCs w:val="21"/>
              </w:rPr>
            </w:pPr>
          </w:p>
        </w:tc>
        <w:tc>
          <w:tcPr>
            <w:tcW w:w="6191" w:type="dxa"/>
            <w:noWrap w:val="0"/>
            <w:vAlign w:val="top"/>
          </w:tcPr>
          <w:p>
            <w:pPr>
              <w:pStyle w:val="6"/>
              <w:spacing w:line="300" w:lineRule="exact"/>
              <w:ind w:left="103"/>
              <w:rPr>
                <w:rFonts w:hint="eastAsia" w:ascii="仿宋_GB2312" w:hAnsi="仿宋_GB2312" w:eastAsia="仿宋_GB2312" w:cs="仿宋_GB2312"/>
                <w:szCs w:val="21"/>
              </w:rPr>
            </w:pPr>
            <w:r>
              <w:rPr>
                <w:rFonts w:hint="eastAsia" w:ascii="仿宋_GB2312" w:hAnsi="仿宋_GB2312" w:eastAsia="仿宋_GB2312" w:cs="仿宋_GB2312"/>
                <w:szCs w:val="21"/>
              </w:rPr>
              <w:t>2.5%高效氯氟氰菊酯悬浮剂</w:t>
            </w:r>
          </w:p>
          <w:p>
            <w:pPr>
              <w:pStyle w:val="6"/>
              <w:spacing w:line="300" w:lineRule="exact"/>
              <w:ind w:left="103"/>
              <w:rPr>
                <w:rFonts w:hint="eastAsia" w:ascii="仿宋_GB2312" w:hAnsi="仿宋_GB2312" w:eastAsia="仿宋_GB2312" w:cs="仿宋_GB2312"/>
                <w:szCs w:val="21"/>
              </w:rPr>
            </w:pPr>
            <w:r>
              <w:rPr>
                <w:rFonts w:hint="eastAsia" w:ascii="仿宋_GB2312" w:hAnsi="仿宋_GB2312" w:eastAsia="仿宋_GB2312" w:cs="仿宋_GB2312"/>
                <w:szCs w:val="21"/>
              </w:rPr>
              <w:t>香味粘蝇彩条</w:t>
            </w:r>
          </w:p>
        </w:tc>
      </w:tr>
    </w:tbl>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3.药品使用要求</w:t>
      </w:r>
    </w:p>
    <w:tbl>
      <w:tblPr>
        <w:tblStyle w:val="4"/>
        <w:tblW w:w="8535" w:type="dxa"/>
        <w:tblInd w:w="388" w:type="dxa"/>
        <w:tblLayout w:type="fixed"/>
        <w:tblCellMar>
          <w:top w:w="0" w:type="dxa"/>
          <w:left w:w="0" w:type="dxa"/>
          <w:bottom w:w="0" w:type="dxa"/>
          <w:right w:w="0" w:type="dxa"/>
        </w:tblCellMar>
      </w:tblPr>
      <w:tblGrid>
        <w:gridCol w:w="2344"/>
        <w:gridCol w:w="6191"/>
      </w:tblGrid>
      <w:tr>
        <w:tblPrEx>
          <w:tblCellMar>
            <w:top w:w="0" w:type="dxa"/>
            <w:left w:w="0" w:type="dxa"/>
            <w:bottom w:w="0" w:type="dxa"/>
            <w:right w:w="0" w:type="dxa"/>
          </w:tblCellMar>
        </w:tblPrEx>
        <w:trPr>
          <w:trHeight w:val="1633" w:hRule="exact"/>
        </w:trPr>
        <w:tc>
          <w:tcPr>
            <w:tcW w:w="2344" w:type="dxa"/>
            <w:tcBorders>
              <w:top w:val="single" w:color="000000" w:sz="4" w:space="0"/>
              <w:left w:val="single" w:color="000000" w:sz="4" w:space="0"/>
              <w:bottom w:val="single" w:color="000000" w:sz="4" w:space="0"/>
              <w:right w:val="single" w:color="000000" w:sz="4" w:space="0"/>
            </w:tcBorders>
            <w:noWrap w:val="0"/>
            <w:vAlign w:val="top"/>
          </w:tcPr>
          <w:p>
            <w:pPr>
              <w:pStyle w:val="6"/>
              <w:jc w:val="center"/>
              <w:rPr>
                <w:rFonts w:hint="eastAsia" w:ascii="仿宋_GB2312" w:hAnsi="仿宋_GB2312" w:eastAsia="仿宋_GB2312" w:cs="仿宋_GB2312"/>
                <w:szCs w:val="21"/>
              </w:rPr>
            </w:pPr>
          </w:p>
          <w:p>
            <w:pPr>
              <w:pStyle w:val="6"/>
              <w:ind w:right="785"/>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pStyle w:val="6"/>
              <w:ind w:right="785"/>
              <w:jc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       灭</w:t>
            </w:r>
            <w:r>
              <w:rPr>
                <w:rFonts w:hint="eastAsia" w:ascii="仿宋_GB2312" w:hAnsi="仿宋_GB2312" w:eastAsia="仿宋_GB2312" w:cs="仿宋_GB2312"/>
                <w:spacing w:val="2"/>
                <w:szCs w:val="21"/>
              </w:rPr>
              <w:t>鼠</w:t>
            </w:r>
          </w:p>
        </w:tc>
        <w:tc>
          <w:tcPr>
            <w:tcW w:w="6191" w:type="dxa"/>
            <w:tcBorders>
              <w:top w:val="single" w:color="000000" w:sz="4" w:space="0"/>
              <w:left w:val="single" w:color="000000" w:sz="4" w:space="0"/>
              <w:bottom w:val="single" w:color="000000" w:sz="4" w:space="0"/>
              <w:right w:val="single" w:color="000000" w:sz="4" w:space="0"/>
            </w:tcBorders>
            <w:noWrap w:val="0"/>
            <w:vAlign w:val="top"/>
          </w:tcPr>
          <w:p>
            <w:pPr>
              <w:pStyle w:val="6"/>
              <w:spacing w:before="2"/>
              <w:ind w:left="103"/>
              <w:rPr>
                <w:rFonts w:hint="eastAsia" w:ascii="仿宋_GB2312" w:hAnsi="仿宋_GB2312" w:eastAsia="仿宋_GB2312" w:cs="仿宋_GB2312"/>
                <w:szCs w:val="21"/>
              </w:rPr>
            </w:pPr>
            <w:r>
              <w:rPr>
                <w:rFonts w:hint="eastAsia" w:ascii="仿宋_GB2312" w:hAnsi="仿宋_GB2312" w:eastAsia="仿宋_GB2312" w:cs="仿宋_GB2312"/>
                <w:szCs w:val="21"/>
              </w:rPr>
              <w:t>0.005%溴鼠灵灭鼠毒饵</w:t>
            </w:r>
          </w:p>
          <w:p>
            <w:pPr>
              <w:pStyle w:val="6"/>
              <w:ind w:left="103"/>
              <w:rPr>
                <w:rFonts w:hint="eastAsia" w:ascii="仿宋_GB2312" w:hAnsi="仿宋_GB2312" w:eastAsia="仿宋_GB2312" w:cs="仿宋_GB2312"/>
                <w:szCs w:val="21"/>
              </w:rPr>
            </w:pPr>
            <w:r>
              <w:rPr>
                <w:rFonts w:hint="eastAsia" w:ascii="仿宋_GB2312" w:hAnsi="仿宋_GB2312" w:eastAsia="仿宋_GB2312" w:cs="仿宋_GB2312"/>
                <w:szCs w:val="21"/>
              </w:rPr>
              <w:t>0.005%敌鼠钠盐灭鼠毒饵</w:t>
            </w:r>
          </w:p>
          <w:p>
            <w:pPr>
              <w:pStyle w:val="6"/>
              <w:ind w:left="103"/>
              <w:rPr>
                <w:rFonts w:hint="eastAsia" w:ascii="仿宋_GB2312" w:hAnsi="仿宋_GB2312" w:eastAsia="仿宋_GB2312" w:cs="仿宋_GB2312"/>
                <w:szCs w:val="21"/>
              </w:rPr>
            </w:pPr>
            <w:r>
              <w:rPr>
                <w:rFonts w:hint="eastAsia" w:ascii="仿宋_GB2312" w:hAnsi="仿宋_GB2312" w:eastAsia="仿宋_GB2312" w:cs="仿宋_GB2312"/>
                <w:szCs w:val="21"/>
              </w:rPr>
              <w:t>0.005%溴敌隆灭鼠毒饵</w:t>
            </w:r>
          </w:p>
          <w:p>
            <w:pPr>
              <w:pStyle w:val="6"/>
              <w:tabs>
                <w:tab w:val="left" w:pos="2622"/>
              </w:tabs>
              <w:ind w:left="103" w:right="2838"/>
              <w:rPr>
                <w:rFonts w:hint="eastAsia" w:ascii="仿宋_GB2312" w:hAnsi="仿宋_GB2312" w:eastAsia="仿宋_GB2312" w:cs="仿宋_GB2312"/>
                <w:szCs w:val="21"/>
              </w:rPr>
            </w:pPr>
            <w:r>
              <w:rPr>
                <w:rFonts w:hint="eastAsia" w:ascii="仿宋_GB2312" w:hAnsi="仿宋_GB2312" w:eastAsia="仿宋_GB2312" w:cs="仿宋_GB2312"/>
                <w:szCs w:val="21"/>
              </w:rPr>
              <w:t>0.005%溴敌隆蜡块颗粒剂</w:t>
            </w:r>
          </w:p>
          <w:p>
            <w:pPr>
              <w:pStyle w:val="6"/>
              <w:tabs>
                <w:tab w:val="left" w:pos="2622"/>
              </w:tabs>
              <w:ind w:left="103" w:right="2001"/>
              <w:rPr>
                <w:rFonts w:hint="eastAsia" w:ascii="仿宋_GB2312" w:hAnsi="仿宋_GB2312" w:eastAsia="仿宋_GB2312" w:cs="仿宋_GB2312"/>
                <w:szCs w:val="21"/>
              </w:rPr>
            </w:pPr>
            <w:r>
              <w:rPr>
                <w:rFonts w:hint="eastAsia" w:ascii="仿宋_GB2312" w:hAnsi="仿宋_GB2312" w:eastAsia="仿宋_GB2312" w:cs="仿宋_GB2312"/>
                <w:szCs w:val="21"/>
              </w:rPr>
              <w:t>粘鼠胶板 老鼠笼  老鼠夹  毒鼠屋</w:t>
            </w:r>
          </w:p>
        </w:tc>
      </w:tr>
      <w:tr>
        <w:tblPrEx>
          <w:tblCellMar>
            <w:top w:w="0" w:type="dxa"/>
            <w:left w:w="0" w:type="dxa"/>
            <w:bottom w:w="0" w:type="dxa"/>
            <w:right w:w="0" w:type="dxa"/>
          </w:tblCellMar>
        </w:tblPrEx>
        <w:trPr>
          <w:trHeight w:val="990" w:hRule="exact"/>
        </w:trPr>
        <w:tc>
          <w:tcPr>
            <w:tcW w:w="2344" w:type="dxa"/>
            <w:tcBorders>
              <w:top w:val="single" w:color="000000" w:sz="4" w:space="0"/>
              <w:left w:val="single" w:color="000000" w:sz="4" w:space="0"/>
              <w:bottom w:val="single" w:color="000000" w:sz="4" w:space="0"/>
              <w:right w:val="single" w:color="000000" w:sz="4" w:space="0"/>
            </w:tcBorders>
            <w:noWrap w:val="0"/>
            <w:vAlign w:val="top"/>
          </w:tcPr>
          <w:p>
            <w:pPr>
              <w:pStyle w:val="6"/>
              <w:ind w:right="785"/>
              <w:jc w:val="center"/>
              <w:rPr>
                <w:rFonts w:hint="eastAsia" w:ascii="仿宋_GB2312" w:hAnsi="仿宋_GB2312" w:eastAsia="仿宋_GB2312" w:cs="仿宋_GB2312"/>
                <w:szCs w:val="21"/>
              </w:rPr>
            </w:pPr>
          </w:p>
          <w:p>
            <w:pPr>
              <w:pStyle w:val="6"/>
              <w:ind w:left="788" w:right="785"/>
              <w:jc w:val="center"/>
              <w:rPr>
                <w:rFonts w:hint="eastAsia" w:ascii="仿宋_GB2312" w:hAnsi="仿宋_GB2312" w:eastAsia="仿宋_GB2312" w:cs="仿宋_GB2312"/>
                <w:szCs w:val="21"/>
              </w:rPr>
            </w:pPr>
            <w:r>
              <w:rPr>
                <w:rFonts w:hint="eastAsia" w:ascii="仿宋_GB2312" w:hAnsi="仿宋_GB2312" w:eastAsia="仿宋_GB2312" w:cs="仿宋_GB2312"/>
                <w:szCs w:val="21"/>
              </w:rPr>
              <w:t>灭蚁</w:t>
            </w:r>
          </w:p>
        </w:tc>
        <w:tc>
          <w:tcPr>
            <w:tcW w:w="6191" w:type="dxa"/>
            <w:tcBorders>
              <w:top w:val="single" w:color="000000" w:sz="4" w:space="0"/>
              <w:left w:val="single" w:color="000000" w:sz="4" w:space="0"/>
              <w:bottom w:val="single" w:color="000000" w:sz="4" w:space="0"/>
              <w:right w:val="single" w:color="000000" w:sz="4" w:space="0"/>
            </w:tcBorders>
            <w:noWrap w:val="0"/>
            <w:vAlign w:val="top"/>
          </w:tcPr>
          <w:p>
            <w:pPr>
              <w:pStyle w:val="6"/>
              <w:tabs>
                <w:tab w:val="left" w:pos="2622"/>
              </w:tabs>
              <w:ind w:left="103" w:right="2838"/>
              <w:rPr>
                <w:rFonts w:hint="eastAsia" w:ascii="仿宋_GB2312" w:hAnsi="仿宋_GB2312" w:eastAsia="仿宋_GB2312" w:cs="仿宋_GB2312"/>
                <w:szCs w:val="21"/>
              </w:rPr>
            </w:pPr>
            <w:r>
              <w:rPr>
                <w:rFonts w:hint="eastAsia" w:ascii="仿宋_GB2312" w:hAnsi="仿宋_GB2312" w:eastAsia="仿宋_GB2312" w:cs="仿宋_GB2312"/>
                <w:szCs w:val="21"/>
              </w:rPr>
              <w:t>广昆白蚁药</w:t>
            </w:r>
          </w:p>
          <w:p>
            <w:pPr>
              <w:pStyle w:val="6"/>
              <w:tabs>
                <w:tab w:val="left" w:pos="2622"/>
              </w:tabs>
              <w:ind w:left="103" w:right="2838"/>
              <w:rPr>
                <w:rFonts w:hint="eastAsia" w:ascii="仿宋_GB2312" w:hAnsi="仿宋_GB2312" w:eastAsia="仿宋_GB2312" w:cs="仿宋_GB2312"/>
                <w:szCs w:val="21"/>
              </w:rPr>
            </w:pPr>
            <w:r>
              <w:rPr>
                <w:rFonts w:hint="eastAsia" w:ascii="仿宋_GB2312" w:hAnsi="仿宋_GB2312" w:eastAsia="仿宋_GB2312" w:cs="仿宋_GB2312"/>
                <w:szCs w:val="21"/>
              </w:rPr>
              <w:t>灭蚁清</w:t>
            </w:r>
          </w:p>
          <w:p>
            <w:pPr>
              <w:pStyle w:val="6"/>
              <w:tabs>
                <w:tab w:val="left" w:pos="2622"/>
              </w:tabs>
              <w:ind w:left="103" w:right="2838"/>
              <w:rPr>
                <w:rFonts w:hint="eastAsia" w:ascii="仿宋_GB2312" w:hAnsi="仿宋_GB2312" w:eastAsia="仿宋_GB2312" w:cs="仿宋_GB2312"/>
                <w:szCs w:val="21"/>
              </w:rPr>
            </w:pPr>
            <w:r>
              <w:rPr>
                <w:rFonts w:hint="eastAsia" w:ascii="仿宋_GB2312" w:hAnsi="仿宋_GB2312" w:eastAsia="仿宋_GB2312" w:cs="仿宋_GB2312"/>
                <w:szCs w:val="21"/>
              </w:rPr>
              <w:t>红蚁净</w:t>
            </w:r>
          </w:p>
        </w:tc>
      </w:tr>
    </w:tbl>
    <w:p>
      <w:pPr>
        <w:pStyle w:val="2"/>
        <w:spacing w:before="1" w:line="240" w:lineRule="auto"/>
        <w:ind w:left="596"/>
        <w:rPr>
          <w:rFonts w:hint="eastAsia" w:ascii="仿宋_GB2312" w:hAnsi="仿宋_GB2312" w:eastAsia="仿宋_GB2312" w:cs="仿宋_GB2312"/>
          <w:szCs w:val="21"/>
        </w:rPr>
      </w:pPr>
    </w:p>
    <w:p>
      <w:pPr>
        <w:pStyle w:val="2"/>
        <w:spacing w:before="1" w:line="24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4.除四害服务要求</w:t>
      </w:r>
    </w:p>
    <w:p>
      <w:pPr>
        <w:pStyle w:val="2"/>
        <w:spacing w:line="240" w:lineRule="auto"/>
        <w:ind w:right="115"/>
        <w:rPr>
          <w:rFonts w:hint="eastAsia" w:ascii="仿宋_GB2312" w:hAnsi="仿宋_GB2312" w:eastAsia="仿宋_GB2312" w:cs="仿宋_GB2312"/>
          <w:szCs w:val="21"/>
        </w:rPr>
      </w:pPr>
      <w:r>
        <w:rPr>
          <w:rFonts w:hint="eastAsia" w:ascii="仿宋_GB2312" w:hAnsi="仿宋_GB2312" w:eastAsia="仿宋_GB2312" w:cs="仿宋_GB2312"/>
          <w:szCs w:val="21"/>
        </w:rPr>
        <w:t>①</w:t>
      </w:r>
      <w:r>
        <w:rPr>
          <w:rFonts w:hint="eastAsia" w:ascii="仿宋_GB2312" w:hAnsi="仿宋_GB2312" w:eastAsia="仿宋_GB2312" w:cs="仿宋_GB2312"/>
          <w:spacing w:val="-8"/>
          <w:szCs w:val="21"/>
        </w:rPr>
        <w:t>按</w:t>
      </w:r>
      <w:r>
        <w:rPr>
          <w:rFonts w:hint="eastAsia" w:ascii="仿宋_GB2312" w:hAnsi="仿宋_GB2312" w:eastAsia="仿宋_GB2312" w:cs="仿宋_GB2312"/>
          <w:spacing w:val="-3"/>
          <w:szCs w:val="21"/>
        </w:rPr>
        <w:t>《</w:t>
      </w:r>
      <w:r>
        <w:rPr>
          <w:rFonts w:hint="eastAsia" w:ascii="仿宋_GB2312" w:hAnsi="仿宋_GB2312" w:eastAsia="仿宋_GB2312" w:cs="仿宋_GB2312"/>
          <w:szCs w:val="21"/>
        </w:rPr>
        <w:t>广州市鼠虫害防治条</w:t>
      </w:r>
      <w:r>
        <w:rPr>
          <w:rFonts w:hint="eastAsia" w:ascii="仿宋_GB2312" w:hAnsi="仿宋_GB2312" w:eastAsia="仿宋_GB2312" w:cs="仿宋_GB2312"/>
          <w:spacing w:val="2"/>
          <w:szCs w:val="21"/>
        </w:rPr>
        <w:t>例</w:t>
      </w:r>
      <w:r>
        <w:rPr>
          <w:rFonts w:hint="eastAsia" w:ascii="仿宋_GB2312" w:hAnsi="仿宋_GB2312" w:eastAsia="仿宋_GB2312" w:cs="仿宋_GB2312"/>
          <w:spacing w:val="-12"/>
          <w:szCs w:val="21"/>
        </w:rPr>
        <w:t>》</w:t>
      </w:r>
      <w:r>
        <w:rPr>
          <w:rFonts w:hint="eastAsia" w:ascii="仿宋_GB2312" w:hAnsi="仿宋_GB2312" w:eastAsia="仿宋_GB2312" w:cs="仿宋_GB2312"/>
          <w:spacing w:val="-17"/>
          <w:szCs w:val="21"/>
        </w:rPr>
        <w:t>、</w:t>
      </w:r>
      <w:r>
        <w:rPr>
          <w:rFonts w:hint="eastAsia" w:ascii="仿宋_GB2312" w:hAnsi="仿宋_GB2312" w:eastAsia="仿宋_GB2312" w:cs="仿宋_GB2312"/>
          <w:szCs w:val="21"/>
        </w:rPr>
        <w:t>《广州市灭鼠杀虫服务行业管理办法</w:t>
      </w:r>
      <w:r>
        <w:rPr>
          <w:rFonts w:hint="eastAsia" w:ascii="仿宋_GB2312" w:hAnsi="仿宋_GB2312" w:eastAsia="仿宋_GB2312" w:cs="仿宋_GB2312"/>
          <w:spacing w:val="-10"/>
          <w:szCs w:val="21"/>
        </w:rPr>
        <w:t>》</w:t>
      </w:r>
      <w:r>
        <w:rPr>
          <w:rFonts w:hint="eastAsia" w:ascii="仿宋_GB2312" w:hAnsi="仿宋_GB2312" w:eastAsia="仿宋_GB2312" w:cs="仿宋_GB2312"/>
          <w:szCs w:val="21"/>
        </w:rPr>
        <w:t>的有关要求，确保在服务期内的防治效果在达标范围内。</w:t>
      </w:r>
    </w:p>
    <w:p>
      <w:pPr>
        <w:pStyle w:val="2"/>
        <w:spacing w:before="36" w:line="240" w:lineRule="auto"/>
        <w:ind w:right="118"/>
        <w:rPr>
          <w:rFonts w:hint="eastAsia" w:ascii="仿宋_GB2312" w:hAnsi="仿宋_GB2312" w:eastAsia="仿宋_GB2312" w:cs="仿宋_GB2312"/>
          <w:szCs w:val="21"/>
        </w:rPr>
      </w:pPr>
      <w:r>
        <w:rPr>
          <w:rFonts w:hint="eastAsia" w:ascii="仿宋_GB2312" w:hAnsi="仿宋_GB2312" w:eastAsia="仿宋_GB2312" w:cs="仿宋_GB2312"/>
          <w:szCs w:val="21"/>
        </w:rPr>
        <w:t>②中标人重点加强对白纹伊蚊的灭杀</w:t>
      </w:r>
      <w:r>
        <w:rPr>
          <w:rFonts w:hint="eastAsia" w:ascii="仿宋_GB2312" w:hAnsi="仿宋_GB2312" w:eastAsia="仿宋_GB2312" w:cs="仿宋_GB2312"/>
          <w:spacing w:val="-15"/>
          <w:szCs w:val="21"/>
        </w:rPr>
        <w:t>，</w:t>
      </w:r>
      <w:r>
        <w:rPr>
          <w:rFonts w:hint="eastAsia" w:ascii="仿宋_GB2312" w:hAnsi="仿宋_GB2312" w:eastAsia="仿宋_GB2312" w:cs="仿宋_GB2312"/>
          <w:szCs w:val="21"/>
        </w:rPr>
        <w:t>加强对其抗药性的监测</w:t>
      </w:r>
      <w:r>
        <w:rPr>
          <w:rFonts w:hint="eastAsia" w:ascii="仿宋_GB2312" w:hAnsi="仿宋_GB2312" w:eastAsia="仿宋_GB2312" w:cs="仿宋_GB2312"/>
          <w:spacing w:val="-17"/>
          <w:szCs w:val="21"/>
        </w:rPr>
        <w:t>。</w:t>
      </w:r>
      <w:r>
        <w:rPr>
          <w:rFonts w:hint="eastAsia" w:ascii="仿宋_GB2312" w:hAnsi="仿宋_GB2312" w:eastAsia="仿宋_GB2312" w:cs="仿宋_GB2312"/>
          <w:szCs w:val="21"/>
        </w:rPr>
        <w:t>在实施喷洒灭蚊当天</w:t>
      </w:r>
      <w:r>
        <w:rPr>
          <w:rFonts w:hint="eastAsia" w:ascii="仿宋_GB2312" w:hAnsi="仿宋_GB2312" w:eastAsia="仿宋_GB2312" w:cs="仿宋_GB2312"/>
          <w:spacing w:val="-17"/>
          <w:szCs w:val="21"/>
        </w:rPr>
        <w:t>，</w:t>
      </w:r>
      <w:r>
        <w:rPr>
          <w:rFonts w:hint="eastAsia" w:ascii="仿宋_GB2312" w:hAnsi="仿宋_GB2312" w:eastAsia="仿宋_GB2312" w:cs="仿宋_GB2312"/>
          <w:szCs w:val="21"/>
        </w:rPr>
        <w:t>要做好现场杀灭效果评估监测</w:t>
      </w:r>
      <w:r>
        <w:rPr>
          <w:rFonts w:hint="eastAsia" w:ascii="仿宋_GB2312" w:hAnsi="仿宋_GB2312" w:eastAsia="仿宋_GB2312" w:cs="仿宋_GB2312"/>
          <w:spacing w:val="-24"/>
          <w:szCs w:val="21"/>
        </w:rPr>
        <w:t>。</w:t>
      </w:r>
      <w:r>
        <w:rPr>
          <w:rFonts w:hint="eastAsia" w:ascii="仿宋_GB2312" w:hAnsi="仿宋_GB2312" w:eastAsia="仿宋_GB2312" w:cs="仿宋_GB2312"/>
          <w:szCs w:val="21"/>
        </w:rPr>
        <w:t>合理选用化学杀虫剂</w:t>
      </w:r>
      <w:r>
        <w:rPr>
          <w:rFonts w:hint="eastAsia" w:ascii="仿宋_GB2312" w:hAnsi="仿宋_GB2312" w:eastAsia="仿宋_GB2312" w:cs="仿宋_GB2312"/>
          <w:spacing w:val="-24"/>
          <w:szCs w:val="21"/>
        </w:rPr>
        <w:t>，</w:t>
      </w:r>
      <w:r>
        <w:rPr>
          <w:rFonts w:hint="eastAsia" w:ascii="仿宋_GB2312" w:hAnsi="仿宋_GB2312" w:eastAsia="仿宋_GB2312" w:cs="仿宋_GB2312"/>
          <w:szCs w:val="21"/>
        </w:rPr>
        <w:t>在同一区域可轮换使用不同的杀虫剂</w:t>
      </w:r>
      <w:r>
        <w:rPr>
          <w:rFonts w:hint="eastAsia" w:ascii="仿宋_GB2312" w:hAnsi="仿宋_GB2312" w:eastAsia="仿宋_GB2312" w:cs="仿宋_GB2312"/>
          <w:spacing w:val="-24"/>
          <w:szCs w:val="21"/>
        </w:rPr>
        <w:t>，</w:t>
      </w:r>
      <w:r>
        <w:rPr>
          <w:rFonts w:hint="eastAsia" w:ascii="仿宋_GB2312" w:hAnsi="仿宋_GB2312" w:eastAsia="仿宋_GB2312" w:cs="仿宋_GB2312"/>
          <w:szCs w:val="21"/>
        </w:rPr>
        <w:t>避免长期使用单一杀虫剂而产生抗药性</w:t>
      </w:r>
      <w:r>
        <w:rPr>
          <w:rFonts w:hint="eastAsia" w:ascii="仿宋_GB2312" w:hAnsi="仿宋_GB2312" w:eastAsia="仿宋_GB2312" w:cs="仿宋_GB2312"/>
          <w:spacing w:val="-24"/>
          <w:szCs w:val="21"/>
        </w:rPr>
        <w:t>。</w:t>
      </w:r>
    </w:p>
    <w:p>
      <w:pPr>
        <w:pStyle w:val="2"/>
        <w:spacing w:before="36" w:line="240" w:lineRule="auto"/>
        <w:ind w:right="118"/>
        <w:rPr>
          <w:rFonts w:hint="eastAsia" w:ascii="仿宋_GB2312" w:hAnsi="仿宋_GB2312" w:eastAsia="仿宋_GB2312" w:cs="仿宋_GB2312"/>
          <w:szCs w:val="21"/>
        </w:rPr>
      </w:pPr>
      <w:r>
        <w:rPr>
          <w:rFonts w:hint="eastAsia" w:ascii="仿宋_GB2312" w:hAnsi="仿宋_GB2312" w:eastAsia="仿宋_GB2312" w:cs="仿宋_GB2312"/>
          <w:szCs w:val="21"/>
        </w:rPr>
        <w:t>③中标人上岗操作人员要严格遵守灭鼠杀虫技术操作规程</w:t>
      </w:r>
      <w:r>
        <w:rPr>
          <w:rFonts w:hint="eastAsia" w:ascii="仿宋_GB2312" w:hAnsi="仿宋_GB2312" w:eastAsia="仿宋_GB2312" w:cs="仿宋_GB2312"/>
          <w:spacing w:val="-24"/>
          <w:szCs w:val="21"/>
        </w:rPr>
        <w:t>，安全</w:t>
      </w:r>
      <w:r>
        <w:rPr>
          <w:rFonts w:hint="eastAsia" w:ascii="仿宋_GB2312" w:hAnsi="仿宋_GB2312" w:eastAsia="仿宋_GB2312" w:cs="仿宋_GB2312"/>
          <w:szCs w:val="21"/>
        </w:rPr>
        <w:t>文明作业</w:t>
      </w:r>
      <w:r>
        <w:rPr>
          <w:rFonts w:hint="eastAsia" w:ascii="仿宋_GB2312" w:hAnsi="仿宋_GB2312" w:eastAsia="仿宋_GB2312" w:cs="仿宋_GB2312"/>
          <w:spacing w:val="-24"/>
          <w:szCs w:val="21"/>
        </w:rPr>
        <w:t>，</w:t>
      </w:r>
      <w:r>
        <w:rPr>
          <w:rFonts w:hint="eastAsia" w:ascii="仿宋_GB2312" w:hAnsi="仿宋_GB2312" w:eastAsia="仿宋_GB2312" w:cs="仿宋_GB2312"/>
          <w:szCs w:val="21"/>
        </w:rPr>
        <w:t>着装统一，佩戴上岗证，每次施药消杀作业要向采购人提交详细的记录资料，并经确认，作为当次服务的凭证。</w:t>
      </w:r>
    </w:p>
    <w:p>
      <w:pPr>
        <w:pStyle w:val="2"/>
        <w:spacing w:before="36" w:line="240" w:lineRule="auto"/>
        <w:ind w:right="111"/>
        <w:rPr>
          <w:rFonts w:hint="eastAsia" w:ascii="仿宋_GB2312" w:hAnsi="仿宋_GB2312" w:eastAsia="仿宋_GB2312" w:cs="仿宋_GB2312"/>
          <w:szCs w:val="21"/>
        </w:rPr>
      </w:pPr>
      <w:r>
        <w:rPr>
          <w:rFonts w:hint="eastAsia" w:ascii="仿宋_GB2312" w:hAnsi="仿宋_GB2312" w:eastAsia="仿宋_GB2312" w:cs="仿宋_GB2312"/>
          <w:szCs w:val="21"/>
        </w:rPr>
        <w:t>④中标人在合同期内所服务的项目有下列情况之一视为服务不达标，应负处罚责任： a．活鼠、新鲜鼠咬痕、新鲜鼠粪超标的； b．成蝇、成蚊、蟑螂成虫密度超标的； c．在政府相关卫生检查工作中被查出超标的。</w:t>
      </w:r>
    </w:p>
    <w:p>
      <w:pPr>
        <w:pStyle w:val="2"/>
        <w:spacing w:before="36" w:line="240" w:lineRule="auto"/>
        <w:ind w:right="118"/>
        <w:rPr>
          <w:rFonts w:hint="eastAsia" w:ascii="仿宋_GB2312" w:hAnsi="仿宋_GB2312" w:eastAsia="仿宋_GB2312" w:cs="仿宋_GB2312"/>
          <w:szCs w:val="21"/>
        </w:rPr>
      </w:pPr>
      <w:r>
        <w:rPr>
          <w:rFonts w:hint="eastAsia" w:ascii="仿宋_GB2312" w:hAnsi="仿宋_GB2312" w:eastAsia="仿宋_GB2312" w:cs="仿宋_GB2312"/>
          <w:szCs w:val="21"/>
        </w:rPr>
        <w:t>⑤中标人有责任建议指导采购人防鼠</w:t>
      </w:r>
      <w:r>
        <w:rPr>
          <w:rFonts w:hint="eastAsia" w:ascii="仿宋_GB2312" w:hAnsi="仿宋_GB2312" w:eastAsia="仿宋_GB2312" w:cs="仿宋_GB2312"/>
          <w:spacing w:val="-48"/>
          <w:szCs w:val="21"/>
        </w:rPr>
        <w:t>、</w:t>
      </w:r>
      <w:r>
        <w:rPr>
          <w:rFonts w:hint="eastAsia" w:ascii="仿宋_GB2312" w:hAnsi="仿宋_GB2312" w:eastAsia="仿宋_GB2312" w:cs="仿宋_GB2312"/>
          <w:szCs w:val="21"/>
        </w:rPr>
        <w:t>防蝇设施的安装和做好日常鼠虫害防治的巩固工作</w:t>
      </w:r>
      <w:r>
        <w:rPr>
          <w:rFonts w:hint="eastAsia" w:ascii="仿宋_GB2312" w:hAnsi="仿宋_GB2312" w:eastAsia="仿宋_GB2312" w:cs="仿宋_GB2312"/>
          <w:spacing w:val="-12"/>
          <w:szCs w:val="21"/>
        </w:rPr>
        <w:t>。中标人应确保</w:t>
      </w:r>
      <w:r>
        <w:rPr>
          <w:rFonts w:hint="eastAsia" w:ascii="仿宋_GB2312" w:hAnsi="仿宋_GB2312" w:eastAsia="仿宋_GB2312" w:cs="仿宋_GB2312"/>
          <w:szCs w:val="21"/>
        </w:rPr>
        <w:t>药物使用安全</w:t>
      </w:r>
      <w:r>
        <w:rPr>
          <w:rFonts w:hint="eastAsia" w:ascii="仿宋_GB2312" w:hAnsi="仿宋_GB2312" w:eastAsia="仿宋_GB2312" w:cs="仿宋_GB2312"/>
          <w:spacing w:val="-12"/>
          <w:szCs w:val="21"/>
        </w:rPr>
        <w:t>，作业</w:t>
      </w:r>
      <w:r>
        <w:rPr>
          <w:rFonts w:hint="eastAsia" w:ascii="仿宋_GB2312" w:hAnsi="仿宋_GB2312" w:eastAsia="仿宋_GB2312" w:cs="仿宋_GB2312"/>
          <w:szCs w:val="21"/>
        </w:rPr>
        <w:t>前有预告，作业时有防护措施及明显警示标志</w:t>
      </w:r>
      <w:r>
        <w:rPr>
          <w:rFonts w:hint="eastAsia" w:ascii="仿宋_GB2312" w:hAnsi="仿宋_GB2312" w:eastAsia="仿宋_GB2312" w:cs="仿宋_GB2312"/>
          <w:spacing w:val="-24"/>
          <w:szCs w:val="21"/>
        </w:rPr>
        <w:t>。</w:t>
      </w:r>
      <w:r>
        <w:rPr>
          <w:rFonts w:hint="eastAsia" w:ascii="仿宋_GB2312" w:hAnsi="仿宋_GB2312" w:eastAsia="仿宋_GB2312" w:cs="仿宋_GB2312"/>
          <w:szCs w:val="21"/>
        </w:rPr>
        <w:t>中标人所使用的灭鼠杀虫药物按国家规定要</w:t>
      </w:r>
      <w:r>
        <w:rPr>
          <w:rFonts w:hint="eastAsia" w:ascii="仿宋_GB2312" w:hAnsi="仿宋_GB2312" w:eastAsia="仿宋_GB2312" w:cs="仿宋_GB2312"/>
          <w:spacing w:val="-24"/>
          <w:szCs w:val="21"/>
        </w:rPr>
        <w:t>有</w:t>
      </w:r>
      <w:r>
        <w:rPr>
          <w:rFonts w:hint="eastAsia" w:ascii="仿宋_GB2312" w:hAnsi="仿宋_GB2312" w:eastAsia="仿宋_GB2312" w:cs="仿宋_GB2312"/>
          <w:szCs w:val="21"/>
        </w:rPr>
        <w:t>“三证或使用全国或市爱卫会专家委员会推荐和认定的药物</w:t>
      </w:r>
      <w:r>
        <w:rPr>
          <w:rFonts w:hint="eastAsia" w:ascii="仿宋_GB2312" w:hAnsi="仿宋_GB2312" w:eastAsia="仿宋_GB2312" w:cs="仿宋_GB2312"/>
          <w:spacing w:val="-48"/>
          <w:szCs w:val="21"/>
        </w:rPr>
        <w:t>，</w:t>
      </w:r>
      <w:r>
        <w:rPr>
          <w:rFonts w:hint="eastAsia" w:ascii="仿宋_GB2312" w:hAnsi="仿宋_GB2312" w:eastAsia="仿宋_GB2312" w:cs="仿宋_GB2312"/>
          <w:szCs w:val="21"/>
        </w:rPr>
        <w:t>严禁使用急性灭鼠药或其他明文禁用药物。如因药物使用或施工操作不当，引起人畜或其他责任事故，中标人应承担全部责任。</w:t>
      </w:r>
    </w:p>
    <w:p>
      <w:pPr>
        <w:pStyle w:val="2"/>
        <w:spacing w:before="36" w:line="240" w:lineRule="auto"/>
        <w:ind w:right="118"/>
        <w:rPr>
          <w:rFonts w:hint="eastAsia" w:ascii="仿宋_GB2312" w:hAnsi="仿宋_GB2312" w:eastAsia="仿宋_GB2312" w:cs="仿宋_GB2312"/>
          <w:szCs w:val="21"/>
        </w:rPr>
      </w:pPr>
      <w:r>
        <w:rPr>
          <w:rFonts w:hint="eastAsia" w:ascii="仿宋_GB2312" w:hAnsi="仿宋_GB2312" w:eastAsia="仿宋_GB2312" w:cs="仿宋_GB2312"/>
          <w:szCs w:val="21"/>
        </w:rPr>
        <w:t>⑥中标人应根据实际场地特点</w:t>
      </w:r>
      <w:r>
        <w:rPr>
          <w:rFonts w:hint="eastAsia" w:ascii="仿宋_GB2312" w:hAnsi="仿宋_GB2312" w:eastAsia="仿宋_GB2312" w:cs="仿宋_GB2312"/>
          <w:spacing w:val="-17"/>
          <w:szCs w:val="21"/>
        </w:rPr>
        <w:t>，</w:t>
      </w:r>
      <w:r>
        <w:rPr>
          <w:rFonts w:hint="eastAsia" w:ascii="仿宋_GB2312" w:hAnsi="仿宋_GB2312" w:eastAsia="仿宋_GB2312" w:cs="仿宋_GB2312"/>
          <w:szCs w:val="21"/>
        </w:rPr>
        <w:t>选用恰当的机器喷洒灭蚊药物</w:t>
      </w:r>
      <w:r>
        <w:rPr>
          <w:rFonts w:hint="eastAsia" w:ascii="仿宋_GB2312" w:hAnsi="仿宋_GB2312" w:eastAsia="仿宋_GB2312" w:cs="仿宋_GB2312"/>
          <w:spacing w:val="-17"/>
          <w:szCs w:val="21"/>
        </w:rPr>
        <w:t>，</w:t>
      </w:r>
      <w:r>
        <w:rPr>
          <w:rFonts w:hint="eastAsia" w:ascii="仿宋_GB2312" w:hAnsi="仿宋_GB2312" w:eastAsia="仿宋_GB2312" w:cs="仿宋_GB2312"/>
          <w:szCs w:val="21"/>
        </w:rPr>
        <w:t>每次灭杀后需提交由区域负责人签名的施工单。遇到喷洒有异味药品时应提前知会管理部门。确保服务质量。</w:t>
      </w:r>
    </w:p>
    <w:p>
      <w:pPr>
        <w:pStyle w:val="2"/>
        <w:spacing w:line="240" w:lineRule="auto"/>
        <w:rPr>
          <w:rFonts w:hint="eastAsia" w:ascii="仿宋_GB2312" w:hAnsi="仿宋_GB2312" w:eastAsia="仿宋_GB2312" w:cs="仿宋_GB2312"/>
          <w:szCs w:val="21"/>
        </w:rPr>
      </w:pPr>
      <w:r>
        <w:rPr>
          <w:rFonts w:hint="eastAsia" w:ascii="仿宋_GB2312" w:hAnsi="仿宋_GB2312" w:eastAsia="仿宋_GB2312" w:cs="仿宋_GB2312"/>
          <w:szCs w:val="21"/>
        </w:rPr>
        <w:t>⑦</w:t>
      </w:r>
      <w:r>
        <w:rPr>
          <w:rFonts w:hint="eastAsia" w:ascii="仿宋_GB2312" w:hAnsi="仿宋_GB2312" w:eastAsia="仿宋_GB2312" w:cs="仿宋_GB2312"/>
          <w:spacing w:val="2"/>
          <w:szCs w:val="21"/>
        </w:rPr>
        <w:t>遇到使用</w:t>
      </w:r>
      <w:r>
        <w:rPr>
          <w:rFonts w:hint="eastAsia" w:ascii="仿宋_GB2312" w:hAnsi="仿宋_GB2312" w:eastAsia="仿宋_GB2312" w:cs="仿宋_GB2312"/>
          <w:szCs w:val="21"/>
        </w:rPr>
        <w:t>部</w:t>
      </w:r>
      <w:r>
        <w:rPr>
          <w:rFonts w:hint="eastAsia" w:ascii="仿宋_GB2312" w:hAnsi="仿宋_GB2312" w:eastAsia="仿宋_GB2312" w:cs="仿宋_GB2312"/>
          <w:spacing w:val="2"/>
          <w:szCs w:val="21"/>
        </w:rPr>
        <w:t>门投诉或对消杀</w:t>
      </w:r>
      <w:r>
        <w:rPr>
          <w:rFonts w:hint="eastAsia" w:ascii="仿宋_GB2312" w:hAnsi="仿宋_GB2312" w:eastAsia="仿宋_GB2312" w:cs="仿宋_GB2312"/>
          <w:szCs w:val="21"/>
        </w:rPr>
        <w:t>效</w:t>
      </w:r>
      <w:r>
        <w:rPr>
          <w:rFonts w:hint="eastAsia" w:ascii="仿宋_GB2312" w:hAnsi="仿宋_GB2312" w:eastAsia="仿宋_GB2312" w:cs="仿宋_GB2312"/>
          <w:spacing w:val="2"/>
          <w:szCs w:val="21"/>
        </w:rPr>
        <w:t>果不满意，需</w:t>
      </w:r>
      <w:r>
        <w:rPr>
          <w:rFonts w:hint="eastAsia" w:ascii="仿宋_GB2312" w:hAnsi="仿宋_GB2312" w:eastAsia="仿宋_GB2312" w:cs="仿宋_GB2312"/>
          <w:szCs w:val="21"/>
        </w:rPr>
        <w:t>在</w:t>
      </w:r>
      <w:r>
        <w:rPr>
          <w:rFonts w:hint="eastAsia" w:ascii="仿宋_GB2312" w:hAnsi="仿宋_GB2312" w:eastAsia="仿宋_GB2312" w:cs="仿宋_GB2312"/>
          <w:spacing w:val="-58"/>
          <w:szCs w:val="21"/>
        </w:rPr>
        <w:t>12</w:t>
      </w:r>
      <w:r>
        <w:rPr>
          <w:rFonts w:hint="eastAsia" w:ascii="仿宋_GB2312" w:hAnsi="仿宋_GB2312" w:eastAsia="仿宋_GB2312" w:cs="仿宋_GB2312"/>
          <w:spacing w:val="2"/>
          <w:szCs w:val="21"/>
        </w:rPr>
        <w:t>小时内对</w:t>
      </w:r>
      <w:r>
        <w:rPr>
          <w:rFonts w:hint="eastAsia" w:ascii="仿宋_GB2312" w:hAnsi="仿宋_GB2312" w:eastAsia="仿宋_GB2312" w:cs="仿宋_GB2312"/>
          <w:szCs w:val="21"/>
        </w:rPr>
        <w:t>投</w:t>
      </w:r>
      <w:r>
        <w:rPr>
          <w:rFonts w:hint="eastAsia" w:ascii="仿宋_GB2312" w:hAnsi="仿宋_GB2312" w:eastAsia="仿宋_GB2312" w:cs="仿宋_GB2312"/>
          <w:spacing w:val="2"/>
          <w:szCs w:val="21"/>
        </w:rPr>
        <w:t>诉区域进行重复</w:t>
      </w:r>
      <w:r>
        <w:rPr>
          <w:rFonts w:hint="eastAsia" w:ascii="仿宋_GB2312" w:hAnsi="仿宋_GB2312" w:eastAsia="仿宋_GB2312" w:cs="仿宋_GB2312"/>
          <w:szCs w:val="21"/>
        </w:rPr>
        <w:t>灭杀。</w:t>
      </w:r>
    </w:p>
    <w:p>
      <w:pPr>
        <w:pStyle w:val="2"/>
        <w:spacing w:line="240" w:lineRule="auto"/>
        <w:rPr>
          <w:rFonts w:hint="eastAsia" w:ascii="仿宋_GB2312" w:hAnsi="仿宋_GB2312" w:eastAsia="仿宋_GB2312" w:cs="仿宋_GB2312"/>
          <w:szCs w:val="21"/>
        </w:rPr>
      </w:pPr>
      <w:r>
        <w:rPr>
          <w:rFonts w:hint="eastAsia" w:ascii="仿宋_GB2312" w:hAnsi="仿宋_GB2312" w:eastAsia="仿宋_GB2312" w:cs="仿宋_GB2312"/>
          <w:szCs w:val="21"/>
        </w:rPr>
        <w:t>5.其他要求</w:t>
      </w:r>
    </w:p>
    <w:p>
      <w:pPr>
        <w:pStyle w:val="2"/>
        <w:spacing w:line="240" w:lineRule="auto"/>
        <w:ind w:right="158"/>
        <w:rPr>
          <w:rFonts w:hint="eastAsia" w:ascii="仿宋_GB2312" w:hAnsi="仿宋_GB2312" w:eastAsia="仿宋_GB2312" w:cs="仿宋_GB2312"/>
          <w:szCs w:val="21"/>
        </w:rPr>
      </w:pPr>
      <w:r>
        <w:rPr>
          <w:rFonts w:hint="eastAsia" w:ascii="仿宋_GB2312" w:hAnsi="仿宋_GB2312" w:eastAsia="仿宋_GB2312" w:cs="仿宋_GB2312"/>
          <w:szCs w:val="21"/>
        </w:rPr>
        <w:t>①中标人按国家</w:t>
      </w:r>
      <w:r>
        <w:rPr>
          <w:rFonts w:hint="eastAsia" w:ascii="仿宋_GB2312" w:hAnsi="仿宋_GB2312" w:eastAsia="仿宋_GB2312" w:cs="仿宋_GB2312"/>
          <w:spacing w:val="-12"/>
          <w:szCs w:val="21"/>
        </w:rPr>
        <w:t>、</w:t>
      </w:r>
      <w:r>
        <w:rPr>
          <w:rFonts w:hint="eastAsia" w:ascii="仿宋_GB2312" w:hAnsi="仿宋_GB2312" w:eastAsia="仿宋_GB2312" w:cs="仿宋_GB2312"/>
          <w:szCs w:val="21"/>
        </w:rPr>
        <w:t>省</w:t>
      </w:r>
      <w:r>
        <w:rPr>
          <w:rFonts w:hint="eastAsia" w:ascii="仿宋_GB2312" w:hAnsi="仿宋_GB2312" w:eastAsia="仿宋_GB2312" w:cs="仿宋_GB2312"/>
          <w:spacing w:val="-12"/>
          <w:szCs w:val="21"/>
        </w:rPr>
        <w:t>、</w:t>
      </w:r>
      <w:r>
        <w:rPr>
          <w:rFonts w:hint="eastAsia" w:ascii="仿宋_GB2312" w:hAnsi="仿宋_GB2312" w:eastAsia="仿宋_GB2312" w:cs="仿宋_GB2312"/>
          <w:szCs w:val="21"/>
        </w:rPr>
        <w:t>市有关法律法规文件规定</w:t>
      </w:r>
      <w:r>
        <w:rPr>
          <w:rFonts w:hint="eastAsia" w:ascii="仿宋_GB2312" w:hAnsi="仿宋_GB2312" w:eastAsia="仿宋_GB2312" w:cs="仿宋_GB2312"/>
          <w:spacing w:val="-12"/>
          <w:szCs w:val="21"/>
        </w:rPr>
        <w:t>，</w:t>
      </w:r>
      <w:r>
        <w:rPr>
          <w:rFonts w:hint="eastAsia" w:ascii="仿宋_GB2312" w:hAnsi="仿宋_GB2312" w:eastAsia="仿宋_GB2312" w:cs="仿宋_GB2312"/>
          <w:szCs w:val="21"/>
        </w:rPr>
        <w:t>负责做好员工的各种保险</w:t>
      </w:r>
      <w:r>
        <w:rPr>
          <w:rFonts w:hint="eastAsia" w:ascii="仿宋_GB2312" w:hAnsi="仿宋_GB2312" w:eastAsia="仿宋_GB2312" w:cs="仿宋_GB2312"/>
          <w:spacing w:val="-12"/>
          <w:szCs w:val="21"/>
        </w:rPr>
        <w:t>、</w:t>
      </w:r>
      <w:r>
        <w:rPr>
          <w:rFonts w:hint="eastAsia" w:ascii="仿宋_GB2312" w:hAnsi="仿宋_GB2312" w:eastAsia="仿宋_GB2312" w:cs="仿宋_GB2312"/>
          <w:szCs w:val="21"/>
        </w:rPr>
        <w:t>安全等管理工作</w:t>
      </w:r>
      <w:r>
        <w:rPr>
          <w:rFonts w:hint="eastAsia" w:ascii="仿宋_GB2312" w:hAnsi="仿宋_GB2312" w:eastAsia="仿宋_GB2312" w:cs="仿宋_GB2312"/>
          <w:spacing w:val="-12"/>
          <w:szCs w:val="21"/>
        </w:rPr>
        <w:t>，</w:t>
      </w:r>
      <w:r>
        <w:rPr>
          <w:rFonts w:hint="eastAsia" w:ascii="仿宋_GB2312" w:hAnsi="仿宋_GB2312" w:eastAsia="仿宋_GB2312" w:cs="仿宋_GB2312"/>
          <w:szCs w:val="21"/>
        </w:rPr>
        <w:t>服务人员名单及相关资料</w:t>
      </w:r>
      <w:r>
        <w:rPr>
          <w:rFonts w:hint="eastAsia" w:ascii="仿宋_GB2312" w:hAnsi="仿宋_GB2312" w:eastAsia="仿宋_GB2312" w:cs="仿宋_GB2312"/>
          <w:spacing w:val="-12"/>
          <w:szCs w:val="21"/>
        </w:rPr>
        <w:t>，</w:t>
      </w:r>
      <w:r>
        <w:rPr>
          <w:rFonts w:hint="eastAsia" w:ascii="仿宋_GB2312" w:eastAsia="仿宋_GB2312"/>
          <w:szCs w:val="21"/>
        </w:rPr>
        <w:t>应</w:t>
      </w:r>
      <w:r>
        <w:rPr>
          <w:rFonts w:hint="eastAsia" w:ascii="仿宋_GB2312" w:hAnsi="仿宋_GB2312" w:eastAsia="仿宋_GB2312" w:cs="仿宋_GB2312"/>
          <w:szCs w:val="21"/>
        </w:rPr>
        <w:t>报中标人备案</w:t>
      </w:r>
      <w:r>
        <w:rPr>
          <w:rFonts w:hint="eastAsia" w:ascii="仿宋_GB2312" w:hAnsi="仿宋_GB2312" w:eastAsia="仿宋_GB2312" w:cs="仿宋_GB2312"/>
          <w:spacing w:val="-12"/>
          <w:szCs w:val="21"/>
        </w:rPr>
        <w:t>，</w:t>
      </w:r>
      <w:r>
        <w:rPr>
          <w:rFonts w:hint="eastAsia" w:ascii="仿宋_GB2312" w:hAnsi="仿宋_GB2312" w:eastAsia="仿宋_GB2312" w:cs="仿宋_GB2312"/>
          <w:szCs w:val="21"/>
        </w:rPr>
        <w:t>完善工作记录</w:t>
      </w:r>
      <w:r>
        <w:rPr>
          <w:rFonts w:hint="eastAsia" w:ascii="仿宋_GB2312" w:hAnsi="仿宋_GB2312" w:eastAsia="仿宋_GB2312" w:cs="仿宋_GB2312"/>
          <w:spacing w:val="-12"/>
          <w:szCs w:val="21"/>
        </w:rPr>
        <w:t>，</w:t>
      </w:r>
      <w:r>
        <w:rPr>
          <w:rFonts w:hint="eastAsia" w:ascii="仿宋_GB2312" w:hAnsi="仿宋_GB2312" w:eastAsia="仿宋_GB2312" w:cs="仿宋_GB2312"/>
          <w:szCs w:val="21"/>
        </w:rPr>
        <w:t>并由中标人确认</w:t>
      </w:r>
      <w:r>
        <w:rPr>
          <w:rFonts w:hint="eastAsia" w:ascii="仿宋_GB2312" w:hAnsi="仿宋_GB2312" w:eastAsia="仿宋_GB2312" w:cs="仿宋_GB2312"/>
          <w:spacing w:val="-15"/>
          <w:szCs w:val="21"/>
        </w:rPr>
        <w:t>。</w:t>
      </w:r>
      <w:r>
        <w:rPr>
          <w:rFonts w:hint="eastAsia" w:ascii="仿宋_GB2312" w:hAnsi="仿宋_GB2312" w:eastAsia="仿宋_GB2312" w:cs="仿宋_GB2312"/>
          <w:szCs w:val="21"/>
        </w:rPr>
        <w:t>如因管理不善出现违法违规事件</w:t>
      </w:r>
      <w:r>
        <w:rPr>
          <w:rFonts w:hint="eastAsia" w:ascii="仿宋_GB2312" w:hAnsi="仿宋_GB2312" w:eastAsia="仿宋_GB2312" w:cs="仿宋_GB2312"/>
          <w:spacing w:val="-17"/>
          <w:szCs w:val="21"/>
        </w:rPr>
        <w:t>，</w:t>
      </w:r>
      <w:r>
        <w:rPr>
          <w:rFonts w:hint="eastAsia" w:ascii="仿宋_GB2312" w:hAnsi="仿宋_GB2312" w:eastAsia="仿宋_GB2312" w:cs="仿宋_GB2312"/>
          <w:szCs w:val="21"/>
        </w:rPr>
        <w:t>给采购人造成损失</w:t>
      </w:r>
      <w:r>
        <w:rPr>
          <w:rFonts w:hint="eastAsia" w:ascii="仿宋_GB2312" w:hAnsi="仿宋_GB2312" w:eastAsia="仿宋_GB2312" w:cs="仿宋_GB2312"/>
          <w:spacing w:val="-17"/>
          <w:szCs w:val="21"/>
        </w:rPr>
        <w:t>，</w:t>
      </w:r>
      <w:r>
        <w:rPr>
          <w:rFonts w:hint="eastAsia" w:ascii="仿宋_GB2312" w:hAnsi="仿宋_GB2312" w:eastAsia="仿宋_GB2312" w:cs="仿宋_GB2312"/>
          <w:szCs w:val="21"/>
        </w:rPr>
        <w:t>由中标人负责所有的法律经济责任。</w:t>
      </w:r>
    </w:p>
    <w:p>
      <w:pPr>
        <w:pStyle w:val="2"/>
        <w:spacing w:before="36" w:line="240" w:lineRule="auto"/>
        <w:ind w:right="110"/>
        <w:rPr>
          <w:rFonts w:hint="eastAsia" w:ascii="仿宋_GB2312" w:hAnsi="仿宋_GB2312" w:eastAsia="仿宋_GB2312" w:cs="仿宋_GB2312"/>
          <w:szCs w:val="21"/>
        </w:rPr>
      </w:pPr>
      <w:r>
        <w:rPr>
          <w:rFonts w:hint="eastAsia" w:ascii="仿宋_GB2312" w:hAnsi="仿宋_GB2312" w:eastAsia="仿宋_GB2312" w:cs="仿宋_GB2312"/>
          <w:szCs w:val="21"/>
        </w:rPr>
        <w:t>②中标人自觉遵守国家法律法规，遵守采购人各项规章制度，不得影响干扰正常工作秩序</w:t>
      </w:r>
      <w:r>
        <w:rPr>
          <w:rFonts w:hint="eastAsia" w:ascii="仿宋_GB2312" w:hAnsi="仿宋_GB2312" w:eastAsia="仿宋_GB2312" w:cs="仿宋_GB2312"/>
          <w:spacing w:val="-24"/>
          <w:szCs w:val="21"/>
        </w:rPr>
        <w:t>，</w:t>
      </w:r>
      <w:r>
        <w:rPr>
          <w:rFonts w:hint="eastAsia" w:ascii="仿宋_GB2312" w:hAnsi="仿宋_GB2312" w:eastAsia="仿宋_GB2312" w:cs="仿宋_GB2312"/>
          <w:szCs w:val="21"/>
        </w:rPr>
        <w:t>服从管理，对指导意见或业务不足之处</w:t>
      </w:r>
      <w:r>
        <w:rPr>
          <w:rFonts w:hint="eastAsia" w:ascii="仿宋_GB2312" w:hAnsi="仿宋_GB2312" w:eastAsia="仿宋_GB2312" w:cs="仿宋_GB2312"/>
          <w:spacing w:val="-24"/>
          <w:szCs w:val="21"/>
        </w:rPr>
        <w:t>，</w:t>
      </w:r>
      <w:r>
        <w:rPr>
          <w:rFonts w:hint="eastAsia" w:ascii="仿宋_GB2312" w:hAnsi="仿宋_GB2312" w:eastAsia="仿宋_GB2312" w:cs="仿宋_GB2312"/>
          <w:szCs w:val="21"/>
        </w:rPr>
        <w:t>中标人必须执行和改进</w:t>
      </w:r>
      <w:r>
        <w:rPr>
          <w:rFonts w:hint="eastAsia" w:ascii="仿宋_GB2312" w:hAnsi="仿宋_GB2312" w:eastAsia="仿宋_GB2312" w:cs="仿宋_GB2312"/>
          <w:spacing w:val="-24"/>
          <w:szCs w:val="21"/>
        </w:rPr>
        <w:t>，</w:t>
      </w:r>
      <w:r>
        <w:rPr>
          <w:rFonts w:hint="eastAsia" w:ascii="仿宋_GB2312" w:hAnsi="仿宋_GB2312" w:eastAsia="仿宋_GB2312" w:cs="仿宋_GB2312"/>
          <w:szCs w:val="21"/>
        </w:rPr>
        <w:t>直至达到合同和本招标文件的相关规定。</w:t>
      </w:r>
    </w:p>
    <w:p>
      <w:pPr>
        <w:pStyle w:val="2"/>
        <w:spacing w:before="36" w:line="240" w:lineRule="auto"/>
        <w:ind w:right="158"/>
        <w:rPr>
          <w:rFonts w:hint="eastAsia" w:ascii="仿宋_GB2312" w:hAnsi="仿宋_GB2312" w:eastAsia="仿宋_GB2312" w:cs="仿宋_GB2312"/>
          <w:szCs w:val="21"/>
        </w:rPr>
      </w:pPr>
      <w:r>
        <w:rPr>
          <w:rFonts w:hint="eastAsia" w:ascii="仿宋_GB2312" w:hAnsi="仿宋_GB2312" w:eastAsia="仿宋_GB2312" w:cs="仿宋_GB2312"/>
          <w:szCs w:val="21"/>
        </w:rPr>
        <w:t>③中标人要积极配合采购人开展爱国卫生防疫工作和卫生部门的工作部署</w:t>
      </w:r>
      <w:r>
        <w:rPr>
          <w:rFonts w:hint="eastAsia" w:ascii="仿宋_GB2312" w:hAnsi="仿宋_GB2312" w:eastAsia="仿宋_GB2312" w:cs="仿宋_GB2312"/>
          <w:spacing w:val="-24"/>
          <w:szCs w:val="21"/>
        </w:rPr>
        <w:t>，有</w:t>
      </w:r>
      <w:r>
        <w:rPr>
          <w:rFonts w:hint="eastAsia" w:ascii="仿宋" w:hAnsi="仿宋" w:eastAsia="仿宋" w:cs="仿宋"/>
          <w:spacing w:val="-24"/>
          <w:szCs w:val="21"/>
        </w:rPr>
        <w:t>效协助采购人</w:t>
      </w:r>
      <w:r>
        <w:rPr>
          <w:rFonts w:hint="eastAsia" w:ascii="仿宋_GB2312" w:hAnsi="仿宋_GB2312" w:eastAsia="仿宋_GB2312" w:cs="仿宋_GB2312"/>
          <w:szCs w:val="21"/>
        </w:rPr>
        <w:t>开展日常及特殊时期的灭鼠灭蚊杀虫工作</w:t>
      </w:r>
      <w:r>
        <w:rPr>
          <w:rFonts w:hint="eastAsia" w:ascii="仿宋_GB2312" w:hAnsi="仿宋_GB2312" w:eastAsia="仿宋_GB2312" w:cs="仿宋_GB2312"/>
          <w:spacing w:val="-24"/>
          <w:szCs w:val="21"/>
        </w:rPr>
        <w:t>。</w:t>
      </w:r>
    </w:p>
    <w:p>
      <w:pPr>
        <w:pStyle w:val="2"/>
        <w:spacing w:before="36" w:line="240" w:lineRule="auto"/>
        <w:rPr>
          <w:rFonts w:hint="eastAsia" w:ascii="仿宋_GB2312" w:hAnsi="仿宋_GB2312" w:eastAsia="仿宋_GB2312" w:cs="仿宋_GB2312"/>
          <w:szCs w:val="21"/>
        </w:rPr>
      </w:pPr>
      <w:r>
        <w:rPr>
          <w:rFonts w:hint="eastAsia" w:ascii="仿宋_GB2312" w:hAnsi="仿宋_GB2312" w:eastAsia="仿宋_GB2312" w:cs="仿宋_GB2312"/>
          <w:szCs w:val="21"/>
        </w:rPr>
        <w:t>④ 药品储备：采购人不提供消杀药品及工具的长期储存场地，可提供临时场所放置但不得过夜，中标人负责临时放置药品和工具的安全管理。各类灭杀药品储备量应保证采购人日常及特殊时段的消杀需要。</w:t>
      </w:r>
    </w:p>
    <w:p>
      <w:pPr>
        <w:pStyle w:val="2"/>
        <w:spacing w:before="36" w:line="240" w:lineRule="auto"/>
        <w:ind w:right="4330"/>
        <w:rPr>
          <w:rFonts w:hint="eastAsia" w:ascii="仿宋_GB2312" w:hAnsi="仿宋_GB2312" w:eastAsia="仿宋_GB2312" w:cs="仿宋_GB2312"/>
          <w:szCs w:val="21"/>
        </w:rPr>
      </w:pPr>
      <w:r>
        <w:rPr>
          <w:rFonts w:hint="eastAsia" w:ascii="仿宋_GB2312" w:eastAsia="仿宋_GB2312"/>
          <w:szCs w:val="21"/>
        </w:rPr>
        <w:t>▲</w:t>
      </w:r>
      <w:r>
        <w:rPr>
          <w:rFonts w:hint="eastAsia" w:ascii="仿宋_GB2312" w:hAnsi="仿宋_GB2312" w:eastAsia="仿宋_GB2312" w:cs="仿宋_GB2312"/>
          <w:szCs w:val="21"/>
        </w:rPr>
        <w:t>6.其它事项及要求</w:t>
      </w:r>
    </w:p>
    <w:p>
      <w:pPr>
        <w:pStyle w:val="2"/>
        <w:spacing w:before="36" w:line="240" w:lineRule="auto"/>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pacing w:val="16"/>
          <w:szCs w:val="21"/>
        </w:rPr>
        <w:t>)</w:t>
      </w:r>
      <w:r>
        <w:rPr>
          <w:rFonts w:hint="eastAsia" w:ascii="仿宋_GB2312" w:hAnsi="仿宋_GB2312" w:eastAsia="仿宋_GB2312" w:cs="仿宋_GB2312"/>
          <w:szCs w:val="21"/>
        </w:rPr>
        <w:t>中标人的办公场地、工具、车辆存放、水电和员工住所自行解决。</w:t>
      </w:r>
    </w:p>
    <w:p>
      <w:pPr>
        <w:pStyle w:val="2"/>
        <w:spacing w:line="240" w:lineRule="auto"/>
        <w:ind w:right="158"/>
        <w:rPr>
          <w:rFonts w:hint="eastAsia" w:ascii="仿宋_GB2312" w:hAnsi="仿宋_GB2312" w:eastAsia="仿宋_GB2312" w:cs="仿宋_GB2312"/>
          <w:szCs w:val="21"/>
        </w:rPr>
      </w:pPr>
      <w:r>
        <w:rPr>
          <w:rFonts w:hint="eastAsia" w:ascii="仿宋_GB2312" w:hAnsi="仿宋_GB2312" w:eastAsia="仿宋_GB2312" w:cs="仿宋_GB2312"/>
          <w:szCs w:val="21"/>
        </w:rPr>
        <w:t>2</w:t>
      </w:r>
      <w:r>
        <w:rPr>
          <w:rFonts w:hint="eastAsia" w:ascii="仿宋_GB2312" w:hAnsi="仿宋_GB2312" w:eastAsia="仿宋_GB2312" w:cs="仿宋_GB2312"/>
          <w:spacing w:val="16"/>
          <w:szCs w:val="21"/>
        </w:rPr>
        <w:t>)</w:t>
      </w:r>
      <w:r>
        <w:rPr>
          <w:rFonts w:hint="eastAsia" w:ascii="仿宋_GB2312" w:hAnsi="仿宋_GB2312" w:eastAsia="仿宋_GB2312" w:cs="仿宋_GB2312"/>
          <w:szCs w:val="21"/>
        </w:rPr>
        <w:t>中标人的工作人员在作业过程中对公共设施造成损坏的，</w:t>
      </w:r>
      <w:r>
        <w:rPr>
          <w:rFonts w:hint="eastAsia" w:ascii="仿宋_GB2312" w:eastAsia="仿宋_GB2312"/>
          <w:szCs w:val="21"/>
        </w:rPr>
        <w:t>应</w:t>
      </w:r>
      <w:r>
        <w:rPr>
          <w:rFonts w:hint="eastAsia" w:ascii="仿宋_GB2312" w:hAnsi="仿宋_GB2312" w:eastAsia="仿宋_GB2312" w:cs="仿宋_GB2312"/>
          <w:szCs w:val="21"/>
        </w:rPr>
        <w:t>恢复原状或赔偿损 失并承担全部责任。</w:t>
      </w:r>
    </w:p>
    <w:p>
      <w:pPr>
        <w:pStyle w:val="2"/>
        <w:spacing w:before="36" w:line="240" w:lineRule="auto"/>
        <w:ind w:right="158"/>
        <w:rPr>
          <w:rFonts w:hint="eastAsia" w:ascii="仿宋_GB2312" w:hAnsi="仿宋_GB2312" w:eastAsia="仿宋_GB2312" w:cs="仿宋_GB2312"/>
          <w:szCs w:val="21"/>
        </w:rPr>
      </w:pPr>
      <w:r>
        <w:rPr>
          <w:rFonts w:hint="eastAsia" w:ascii="仿宋_GB2312" w:hAnsi="仿宋_GB2312" w:eastAsia="仿宋_GB2312" w:cs="仿宋_GB2312"/>
          <w:szCs w:val="21"/>
        </w:rPr>
        <w:t>3</w:t>
      </w:r>
      <w:r>
        <w:rPr>
          <w:rFonts w:hint="eastAsia" w:ascii="仿宋_GB2312" w:hAnsi="仿宋_GB2312" w:eastAsia="仿宋_GB2312" w:cs="仿宋_GB2312"/>
          <w:spacing w:val="16"/>
          <w:szCs w:val="21"/>
        </w:rPr>
        <w:t>)</w:t>
      </w:r>
      <w:r>
        <w:rPr>
          <w:rFonts w:hint="eastAsia" w:ascii="仿宋_GB2312" w:hAnsi="仿宋_GB2312" w:eastAsia="仿宋_GB2312" w:cs="仿宋_GB2312"/>
          <w:szCs w:val="21"/>
        </w:rPr>
        <w:t>中标人在作业过程中</w:t>
      </w:r>
      <w:r>
        <w:rPr>
          <w:rFonts w:hint="eastAsia" w:ascii="仿宋_GB2312" w:eastAsia="仿宋_GB2312"/>
          <w:szCs w:val="21"/>
        </w:rPr>
        <w:t>应</w:t>
      </w:r>
      <w:r>
        <w:rPr>
          <w:rFonts w:hint="eastAsia" w:ascii="仿宋_GB2312" w:hAnsi="仿宋_GB2312" w:eastAsia="仿宋_GB2312" w:cs="仿宋_GB2312"/>
          <w:szCs w:val="21"/>
        </w:rPr>
        <w:t>采取有效的安全防护措施</w:t>
      </w:r>
      <w:r>
        <w:rPr>
          <w:rFonts w:hint="eastAsia" w:ascii="仿宋_GB2312" w:hAnsi="仿宋_GB2312" w:eastAsia="仿宋_GB2312" w:cs="仿宋_GB2312"/>
          <w:spacing w:val="-32"/>
          <w:szCs w:val="21"/>
        </w:rPr>
        <w:t>，</w:t>
      </w:r>
      <w:r>
        <w:rPr>
          <w:rFonts w:hint="eastAsia" w:ascii="仿宋_GB2312" w:hAnsi="仿宋_GB2312" w:eastAsia="仿宋_GB2312" w:cs="仿宋_GB2312"/>
          <w:szCs w:val="21"/>
        </w:rPr>
        <w:t>否则，承担因此造成的一切责任。</w:t>
      </w:r>
    </w:p>
    <w:p>
      <w:pPr>
        <w:pStyle w:val="2"/>
        <w:spacing w:before="36" w:line="240" w:lineRule="auto"/>
        <w:rPr>
          <w:rFonts w:hint="eastAsia" w:ascii="仿宋_GB2312" w:hAnsi="仿宋_GB2312" w:eastAsia="仿宋_GB2312" w:cs="仿宋_GB2312"/>
          <w:szCs w:val="21"/>
        </w:rPr>
      </w:pPr>
    </w:p>
    <w:p>
      <w:pPr>
        <w:pStyle w:val="2"/>
        <w:spacing w:before="36" w:line="24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四.商务要求</w:t>
      </w:r>
    </w:p>
    <w:p>
      <w:pPr>
        <w:pStyle w:val="2"/>
        <w:spacing w:line="24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1.服务要求：</w:t>
      </w:r>
      <w:r>
        <w:rPr>
          <w:rFonts w:hint="eastAsia" w:ascii="仿宋_GB2312" w:eastAsia="仿宋_GB2312"/>
          <w:szCs w:val="21"/>
        </w:rPr>
        <w:t>应</w:t>
      </w:r>
      <w:r>
        <w:rPr>
          <w:rFonts w:hint="eastAsia" w:ascii="仿宋_GB2312" w:hAnsi="仿宋_GB2312" w:eastAsia="仿宋_GB2312" w:cs="仿宋_GB2312"/>
          <w:szCs w:val="21"/>
        </w:rPr>
        <w:t>符合招标文件的规定要求、国家和行业的相关标准。</w:t>
      </w:r>
    </w:p>
    <w:p>
      <w:pPr>
        <w:pStyle w:val="2"/>
        <w:spacing w:line="24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2.服务方式：招标服务范围内总价包干。</w:t>
      </w:r>
    </w:p>
    <w:p>
      <w:pPr>
        <w:pStyle w:val="2"/>
        <w:spacing w:line="240" w:lineRule="auto"/>
        <w:ind w:right="158" w:firstLine="428" w:firstLineChars="200"/>
        <w:rPr>
          <w:rFonts w:hint="eastAsia" w:ascii="仿宋_GB2312" w:hAnsi="仿宋_GB2312" w:eastAsia="仿宋_GB2312" w:cs="仿宋_GB2312"/>
          <w:szCs w:val="21"/>
        </w:rPr>
      </w:pPr>
      <w:r>
        <w:rPr>
          <w:rFonts w:hint="eastAsia" w:ascii="仿宋_GB2312" w:hAnsi="仿宋_GB2312" w:eastAsia="仿宋_GB2312" w:cs="仿宋_GB2312"/>
          <w:spacing w:val="2"/>
          <w:szCs w:val="21"/>
        </w:rPr>
        <w:t>3.服务</w:t>
      </w:r>
      <w:r>
        <w:rPr>
          <w:rFonts w:hint="eastAsia" w:ascii="仿宋_GB2312" w:hAnsi="仿宋_GB2312" w:eastAsia="仿宋_GB2312" w:cs="仿宋_GB2312"/>
          <w:szCs w:val="21"/>
        </w:rPr>
        <w:t>期</w:t>
      </w:r>
      <w:r>
        <w:rPr>
          <w:rFonts w:hint="eastAsia" w:ascii="仿宋_GB2312" w:hAnsi="仿宋_GB2312" w:eastAsia="仿宋_GB2312" w:cs="仿宋_GB2312"/>
          <w:spacing w:val="2"/>
          <w:szCs w:val="21"/>
        </w:rPr>
        <w:t>限：</w:t>
      </w:r>
      <w:r>
        <w:rPr>
          <w:rFonts w:hint="eastAsia" w:ascii="仿宋_GB2312" w:hAnsi="仿宋_GB2312" w:eastAsia="仿宋_GB2312" w:cs="仿宋_GB2312"/>
          <w:spacing w:val="2"/>
          <w:szCs w:val="21"/>
          <w:u w:val="single" w:color="000000"/>
        </w:rPr>
        <w:t>自合同</w:t>
      </w:r>
      <w:r>
        <w:rPr>
          <w:rFonts w:hint="eastAsia" w:ascii="仿宋_GB2312" w:hAnsi="仿宋_GB2312" w:eastAsia="仿宋_GB2312" w:cs="仿宋_GB2312"/>
          <w:szCs w:val="21"/>
          <w:u w:val="single" w:color="000000"/>
        </w:rPr>
        <w:t>签</w:t>
      </w:r>
      <w:r>
        <w:rPr>
          <w:rFonts w:hint="eastAsia" w:ascii="仿宋_GB2312" w:hAnsi="仿宋_GB2312" w:eastAsia="仿宋_GB2312" w:cs="仿宋_GB2312"/>
          <w:spacing w:val="2"/>
          <w:szCs w:val="21"/>
          <w:u w:val="single" w:color="000000"/>
        </w:rPr>
        <w:t>订之日起</w:t>
      </w:r>
      <w:r>
        <w:rPr>
          <w:rFonts w:hint="eastAsia" w:ascii="仿宋_GB2312" w:hAnsi="仿宋_GB2312" w:eastAsia="仿宋_GB2312" w:cs="仿宋_GB2312"/>
          <w:spacing w:val="2"/>
          <w:szCs w:val="21"/>
          <w:u w:val="single" w:color="000000"/>
          <w:lang w:eastAsia="zh-CN"/>
        </w:rPr>
        <w:t>一</w:t>
      </w:r>
      <w:r>
        <w:rPr>
          <w:rFonts w:hint="eastAsia" w:ascii="仿宋_GB2312" w:hAnsi="仿宋_GB2312" w:eastAsia="仿宋_GB2312" w:cs="仿宋_GB2312"/>
          <w:spacing w:val="2"/>
          <w:szCs w:val="21"/>
          <w:u w:val="single" w:color="000000"/>
        </w:rPr>
        <w:t>年</w:t>
      </w:r>
      <w:r>
        <w:rPr>
          <w:rFonts w:hint="eastAsia" w:ascii="仿宋_GB2312" w:hAnsi="仿宋_GB2312" w:eastAsia="仿宋_GB2312" w:cs="仿宋_GB2312"/>
          <w:spacing w:val="2"/>
          <w:szCs w:val="21"/>
        </w:rPr>
        <w:t>。</w:t>
      </w:r>
    </w:p>
    <w:p>
      <w:pPr>
        <w:pStyle w:val="2"/>
        <w:spacing w:line="240" w:lineRule="auto"/>
        <w:ind w:firstLine="428" w:firstLineChars="200"/>
        <w:rPr>
          <w:rFonts w:hint="eastAsia" w:ascii="仿宋_GB2312" w:hAnsi="仿宋_GB2312" w:eastAsia="仿宋_GB2312" w:cs="仿宋_GB2312"/>
          <w:szCs w:val="21"/>
        </w:rPr>
      </w:pPr>
      <w:r>
        <w:rPr>
          <w:rFonts w:hint="eastAsia" w:ascii="仿宋_GB2312" w:hAnsi="仿宋_GB2312" w:eastAsia="仿宋_GB2312" w:cs="仿宋_GB2312"/>
          <w:spacing w:val="2"/>
          <w:szCs w:val="21"/>
        </w:rPr>
        <w:t>4.报价</w:t>
      </w:r>
      <w:r>
        <w:rPr>
          <w:rFonts w:hint="eastAsia" w:ascii="仿宋_GB2312" w:hAnsi="仿宋_GB2312" w:eastAsia="仿宋_GB2312" w:cs="仿宋_GB2312"/>
          <w:szCs w:val="21"/>
        </w:rPr>
        <w:t>要</w:t>
      </w:r>
      <w:r>
        <w:rPr>
          <w:rFonts w:hint="eastAsia" w:ascii="仿宋_GB2312" w:hAnsi="仿宋_GB2312" w:eastAsia="仿宋_GB2312" w:cs="仿宋_GB2312"/>
          <w:spacing w:val="2"/>
          <w:szCs w:val="21"/>
        </w:rPr>
        <w:t>求：投标报价</w:t>
      </w:r>
      <w:r>
        <w:rPr>
          <w:rFonts w:hint="eastAsia" w:ascii="仿宋_GB2312" w:hAnsi="仿宋_GB2312" w:eastAsia="仿宋_GB2312" w:cs="仿宋_GB2312"/>
          <w:szCs w:val="21"/>
        </w:rPr>
        <w:t>为</w:t>
      </w:r>
      <w:r>
        <w:rPr>
          <w:rFonts w:hint="eastAsia" w:ascii="仿宋_GB2312" w:hAnsi="仿宋_GB2312" w:eastAsia="仿宋_GB2312" w:cs="仿宋_GB2312"/>
          <w:spacing w:val="2"/>
          <w:szCs w:val="21"/>
        </w:rPr>
        <w:t>全包价，包括</w:t>
      </w:r>
      <w:r>
        <w:rPr>
          <w:rFonts w:hint="eastAsia" w:ascii="仿宋_GB2312" w:hAnsi="仿宋_GB2312" w:eastAsia="仿宋_GB2312" w:cs="仿宋_GB2312"/>
          <w:szCs w:val="21"/>
        </w:rPr>
        <w:t>服</w:t>
      </w:r>
      <w:r>
        <w:rPr>
          <w:rFonts w:hint="eastAsia" w:ascii="仿宋_GB2312" w:hAnsi="仿宋_GB2312" w:eastAsia="仿宋_GB2312" w:cs="仿宋_GB2312"/>
          <w:spacing w:val="2"/>
          <w:szCs w:val="21"/>
        </w:rPr>
        <w:t>务范围内的人</w:t>
      </w:r>
      <w:r>
        <w:rPr>
          <w:rFonts w:hint="eastAsia" w:ascii="仿宋_GB2312" w:hAnsi="仿宋_GB2312" w:eastAsia="仿宋_GB2312" w:cs="仿宋_GB2312"/>
          <w:szCs w:val="21"/>
        </w:rPr>
        <w:t>工</w:t>
      </w:r>
      <w:r>
        <w:rPr>
          <w:rFonts w:hint="eastAsia" w:ascii="仿宋_GB2312" w:hAnsi="仿宋_GB2312" w:eastAsia="仿宋_GB2312" w:cs="仿宋_GB2312"/>
          <w:spacing w:val="2"/>
          <w:szCs w:val="21"/>
        </w:rPr>
        <w:t>费、培训及管</w:t>
      </w:r>
      <w:r>
        <w:rPr>
          <w:rFonts w:hint="eastAsia" w:ascii="仿宋_GB2312" w:hAnsi="仿宋_GB2312" w:eastAsia="仿宋_GB2312" w:cs="仿宋_GB2312"/>
          <w:szCs w:val="21"/>
        </w:rPr>
        <w:t>理</w:t>
      </w:r>
      <w:r>
        <w:rPr>
          <w:rFonts w:hint="eastAsia" w:ascii="仿宋_GB2312" w:hAnsi="仿宋_GB2312" w:eastAsia="仿宋_GB2312" w:cs="仿宋_GB2312"/>
          <w:spacing w:val="2"/>
          <w:szCs w:val="21"/>
        </w:rPr>
        <w:t>费用</w:t>
      </w:r>
      <w:r>
        <w:rPr>
          <w:rFonts w:hint="eastAsia" w:ascii="仿宋_GB2312" w:hAnsi="仿宋_GB2312" w:eastAsia="仿宋_GB2312" w:cs="仿宋_GB2312"/>
          <w:szCs w:val="21"/>
        </w:rPr>
        <w:t>、相关工具用具及劳保用品服装的使用费用</w:t>
      </w:r>
      <w:r>
        <w:rPr>
          <w:rFonts w:hint="eastAsia" w:ascii="仿宋_GB2312" w:hAnsi="仿宋_GB2312" w:eastAsia="仿宋_GB2312" w:cs="仿宋_GB2312"/>
          <w:spacing w:val="-12"/>
          <w:szCs w:val="21"/>
        </w:rPr>
        <w:t>、</w:t>
      </w:r>
      <w:r>
        <w:rPr>
          <w:rFonts w:hint="eastAsia" w:ascii="仿宋_GB2312" w:hAnsi="仿宋_GB2312" w:eastAsia="仿宋_GB2312" w:cs="仿宋_GB2312"/>
          <w:szCs w:val="21"/>
        </w:rPr>
        <w:t>材料费</w:t>
      </w:r>
      <w:r>
        <w:rPr>
          <w:rFonts w:hint="eastAsia" w:ascii="仿宋_GB2312" w:hAnsi="仿宋_GB2312" w:eastAsia="仿宋_GB2312" w:cs="仿宋_GB2312"/>
          <w:spacing w:val="-12"/>
          <w:szCs w:val="21"/>
        </w:rPr>
        <w:t>、</w:t>
      </w:r>
      <w:r>
        <w:rPr>
          <w:rFonts w:hint="eastAsia" w:ascii="仿宋_GB2312" w:hAnsi="仿宋_GB2312" w:eastAsia="仿宋_GB2312" w:cs="仿宋_GB2312"/>
          <w:szCs w:val="21"/>
        </w:rPr>
        <w:t>物资费</w:t>
      </w:r>
      <w:r>
        <w:rPr>
          <w:rFonts w:hint="eastAsia" w:ascii="仿宋_GB2312" w:hAnsi="仿宋_GB2312" w:eastAsia="仿宋_GB2312" w:cs="仿宋_GB2312"/>
          <w:spacing w:val="-12"/>
          <w:szCs w:val="21"/>
        </w:rPr>
        <w:t>、</w:t>
      </w:r>
      <w:r>
        <w:rPr>
          <w:rFonts w:hint="eastAsia" w:ascii="仿宋_GB2312" w:hAnsi="仿宋_GB2312" w:eastAsia="仿宋_GB2312" w:cs="仿宋_GB2312"/>
          <w:szCs w:val="21"/>
        </w:rPr>
        <w:t>设备折旧费</w:t>
      </w:r>
      <w:r>
        <w:rPr>
          <w:rFonts w:hint="eastAsia" w:ascii="仿宋_GB2312" w:hAnsi="仿宋_GB2312" w:eastAsia="仿宋_GB2312" w:cs="仿宋_GB2312"/>
          <w:spacing w:val="-12"/>
          <w:szCs w:val="21"/>
        </w:rPr>
        <w:t>、</w:t>
      </w:r>
      <w:r>
        <w:rPr>
          <w:rFonts w:hint="eastAsia" w:ascii="仿宋_GB2312" w:hAnsi="仿宋_GB2312" w:eastAsia="仿宋_GB2312" w:cs="仿宋_GB2312"/>
          <w:szCs w:val="21"/>
        </w:rPr>
        <w:t>迎检措施费用</w:t>
      </w:r>
      <w:r>
        <w:rPr>
          <w:rFonts w:hint="eastAsia" w:ascii="仿宋_GB2312" w:hAnsi="仿宋_GB2312" w:eastAsia="仿宋_GB2312" w:cs="仿宋_GB2312"/>
          <w:spacing w:val="-15"/>
          <w:szCs w:val="21"/>
        </w:rPr>
        <w:t>、</w:t>
      </w:r>
      <w:r>
        <w:rPr>
          <w:rFonts w:hint="eastAsia" w:ascii="仿宋_GB2312" w:hAnsi="仿宋_GB2312" w:eastAsia="仿宋_GB2312" w:cs="仿宋_GB2312"/>
          <w:szCs w:val="21"/>
        </w:rPr>
        <w:t>防盗费用</w:t>
      </w:r>
      <w:r>
        <w:rPr>
          <w:rFonts w:hint="eastAsia" w:ascii="仿宋_GB2312" w:hAnsi="仿宋_GB2312" w:eastAsia="仿宋_GB2312" w:cs="仿宋_GB2312"/>
          <w:spacing w:val="-17"/>
          <w:szCs w:val="21"/>
        </w:rPr>
        <w:t>、</w:t>
      </w:r>
      <w:r>
        <w:rPr>
          <w:rFonts w:hint="eastAsia" w:ascii="仿宋_GB2312" w:hAnsi="仿宋_GB2312" w:eastAsia="仿宋_GB2312" w:cs="仿宋_GB2312"/>
          <w:szCs w:val="21"/>
        </w:rPr>
        <w:t>防火费用</w:t>
      </w:r>
      <w:r>
        <w:rPr>
          <w:rFonts w:hint="eastAsia" w:ascii="仿宋_GB2312" w:hAnsi="仿宋_GB2312" w:eastAsia="仿宋_GB2312" w:cs="仿宋_GB2312"/>
          <w:spacing w:val="-17"/>
          <w:szCs w:val="21"/>
        </w:rPr>
        <w:t>、</w:t>
      </w:r>
      <w:r>
        <w:rPr>
          <w:rFonts w:hint="eastAsia" w:ascii="仿宋_GB2312" w:hAnsi="仿宋_GB2312" w:eastAsia="仿宋_GB2312" w:cs="仿宋_GB2312"/>
          <w:szCs w:val="21"/>
        </w:rPr>
        <w:t>防人为破坏费用及各项税费等一切与完成本项目相关费用及合同实施过程中应预见和不可预见费用。所有价格均应以人民币报价，金额单位为元。</w:t>
      </w:r>
    </w:p>
    <w:p>
      <w:pPr>
        <w:pStyle w:val="2"/>
        <w:numPr>
          <w:ilvl w:val="0"/>
          <w:numId w:val="3"/>
        </w:numPr>
        <w:spacing w:line="240" w:lineRule="auto"/>
        <w:ind w:right="238" w:firstLine="428" w:firstLineChars="200"/>
        <w:rPr>
          <w:rFonts w:hint="eastAsia" w:ascii="仿宋_GB2312" w:hAnsi="仿宋_GB2312" w:eastAsia="仿宋_GB2312" w:cs="仿宋_GB2312"/>
          <w:szCs w:val="21"/>
        </w:rPr>
      </w:pPr>
      <w:r>
        <w:rPr>
          <w:rFonts w:hint="eastAsia" w:ascii="仿宋_GB2312" w:hAnsi="仿宋_GB2312" w:eastAsia="仿宋_GB2312" w:cs="仿宋_GB2312"/>
          <w:spacing w:val="2"/>
          <w:szCs w:val="21"/>
        </w:rPr>
        <w:t>付款</w:t>
      </w:r>
      <w:r>
        <w:rPr>
          <w:rFonts w:hint="eastAsia" w:ascii="仿宋_GB2312" w:hAnsi="仿宋_GB2312" w:eastAsia="仿宋_GB2312" w:cs="仿宋_GB2312"/>
          <w:szCs w:val="21"/>
        </w:rPr>
        <w:t>方</w:t>
      </w:r>
      <w:r>
        <w:rPr>
          <w:rFonts w:hint="eastAsia" w:ascii="仿宋_GB2312" w:hAnsi="仿宋_GB2312" w:eastAsia="仿宋_GB2312" w:cs="仿宋_GB2312"/>
          <w:spacing w:val="2"/>
          <w:szCs w:val="21"/>
        </w:rPr>
        <w:t>式：按季度支</w:t>
      </w:r>
      <w:r>
        <w:rPr>
          <w:rFonts w:hint="eastAsia" w:ascii="仿宋_GB2312" w:hAnsi="仿宋_GB2312" w:eastAsia="仿宋_GB2312" w:cs="仿宋_GB2312"/>
          <w:szCs w:val="21"/>
        </w:rPr>
        <w:t>付</w:t>
      </w:r>
      <w:r>
        <w:rPr>
          <w:rFonts w:hint="eastAsia" w:ascii="仿宋_GB2312" w:hAnsi="仿宋_GB2312" w:eastAsia="仿宋_GB2312" w:cs="仿宋_GB2312"/>
          <w:spacing w:val="2"/>
          <w:szCs w:val="21"/>
        </w:rPr>
        <w:t>。中标人根据</w:t>
      </w:r>
      <w:r>
        <w:rPr>
          <w:rFonts w:hint="eastAsia" w:ascii="仿宋_GB2312" w:hAnsi="仿宋_GB2312" w:eastAsia="仿宋_GB2312" w:cs="仿宋_GB2312"/>
          <w:szCs w:val="21"/>
        </w:rPr>
        <w:t>核</w:t>
      </w:r>
      <w:r>
        <w:rPr>
          <w:rFonts w:hint="eastAsia" w:ascii="仿宋_GB2312" w:hAnsi="仿宋_GB2312" w:eastAsia="仿宋_GB2312" w:cs="仿宋_GB2312"/>
          <w:spacing w:val="2"/>
          <w:szCs w:val="21"/>
        </w:rPr>
        <w:t>准的服务费</w:t>
      </w:r>
      <w:r>
        <w:rPr>
          <w:rFonts w:hint="eastAsia" w:ascii="仿宋_GB2312" w:hAnsi="仿宋_GB2312" w:eastAsia="仿宋_GB2312" w:cs="仿宋_GB2312"/>
          <w:szCs w:val="21"/>
        </w:rPr>
        <w:t>用</w:t>
      </w:r>
      <w:r>
        <w:rPr>
          <w:rFonts w:hint="eastAsia" w:ascii="仿宋_GB2312" w:hAnsi="仿宋_GB2312" w:eastAsia="仿宋_GB2312" w:cs="仿宋_GB2312"/>
          <w:spacing w:val="2"/>
          <w:szCs w:val="21"/>
        </w:rPr>
        <w:t>开具有效发</w:t>
      </w:r>
      <w:r>
        <w:rPr>
          <w:rFonts w:hint="eastAsia" w:ascii="仿宋_GB2312" w:hAnsi="仿宋_GB2312" w:eastAsia="仿宋_GB2312" w:cs="仿宋_GB2312"/>
          <w:szCs w:val="21"/>
        </w:rPr>
        <w:t>票</w:t>
      </w:r>
      <w:r>
        <w:rPr>
          <w:rFonts w:hint="eastAsia" w:ascii="仿宋_GB2312" w:hAnsi="仿宋_GB2312" w:eastAsia="仿宋_GB2312" w:cs="仿宋_GB2312"/>
          <w:spacing w:val="2"/>
          <w:szCs w:val="21"/>
        </w:rPr>
        <w:t>，招标人在</w:t>
      </w:r>
      <w:r>
        <w:rPr>
          <w:rFonts w:hint="eastAsia" w:ascii="仿宋_GB2312" w:hAnsi="仿宋_GB2312" w:eastAsia="仿宋_GB2312" w:cs="仿宋_GB2312"/>
          <w:szCs w:val="21"/>
        </w:rPr>
        <w:t>收</w:t>
      </w:r>
      <w:r>
        <w:rPr>
          <w:rFonts w:hint="eastAsia" w:ascii="仿宋_GB2312" w:hAnsi="仿宋_GB2312" w:eastAsia="仿宋_GB2312" w:cs="仿宋_GB2312"/>
          <w:spacing w:val="2"/>
          <w:szCs w:val="21"/>
        </w:rPr>
        <w:t>到中标人的</w:t>
      </w:r>
      <w:r>
        <w:rPr>
          <w:rFonts w:hint="eastAsia" w:ascii="仿宋_GB2312" w:hAnsi="仿宋_GB2312" w:eastAsia="仿宋_GB2312" w:cs="仿宋_GB2312"/>
          <w:szCs w:val="21"/>
        </w:rPr>
        <w:t>发</w:t>
      </w:r>
      <w:r>
        <w:rPr>
          <w:rFonts w:hint="eastAsia" w:ascii="仿宋_GB2312" w:hAnsi="仿宋_GB2312" w:eastAsia="仿宋_GB2312" w:cs="仿宋_GB2312"/>
          <w:spacing w:val="2"/>
          <w:szCs w:val="21"/>
        </w:rPr>
        <w:t>票</w:t>
      </w:r>
      <w:r>
        <w:rPr>
          <w:rFonts w:hint="eastAsia" w:ascii="仿宋_GB2312" w:hAnsi="仿宋_GB2312" w:eastAsia="仿宋_GB2312" w:cs="仿宋_GB2312"/>
          <w:szCs w:val="21"/>
        </w:rPr>
        <w:t>后</w:t>
      </w:r>
      <w:r>
        <w:rPr>
          <w:rFonts w:hint="eastAsia" w:ascii="仿宋_GB2312" w:hAnsi="仿宋_GB2312" w:eastAsia="仿宋_GB2312" w:cs="仿宋_GB2312"/>
          <w:szCs w:val="21"/>
          <w:u w:val="single"/>
        </w:rPr>
        <w:t xml:space="preserve"> 30 </w:t>
      </w:r>
      <w:r>
        <w:rPr>
          <w:rFonts w:hint="eastAsia" w:ascii="仿宋_GB2312" w:hAnsi="仿宋_GB2312" w:eastAsia="仿宋_GB2312" w:cs="仿宋_GB2312"/>
          <w:szCs w:val="21"/>
        </w:rPr>
        <w:t>个工作日内支付服务费。</w:t>
      </w:r>
    </w:p>
    <w:p>
      <w:pPr>
        <w:pStyle w:val="2"/>
        <w:tabs>
          <w:tab w:val="center" w:pos="4535"/>
        </w:tabs>
        <w:spacing w:before="36" w:line="240" w:lineRule="auto"/>
        <w:rPr>
          <w:rFonts w:hint="eastAsia" w:ascii="仿宋_GB2312" w:hAnsi="仿宋_GB2312" w:eastAsia="仿宋_GB2312" w:cs="仿宋_GB2312"/>
          <w:b/>
          <w:bCs/>
          <w:color w:val="000000" w:themeColor="text1"/>
          <w:szCs w:val="21"/>
          <w:highlight w:val="none"/>
          <w14:textFill>
            <w14:solidFill>
              <w14:schemeClr w14:val="tx1"/>
            </w14:solidFill>
          </w14:textFill>
        </w:rPr>
      </w:pPr>
      <w:r>
        <w:rPr>
          <w:rFonts w:hint="eastAsia" w:ascii="仿宋_GB2312" w:hAnsi="仿宋_GB2312" w:eastAsia="仿宋_GB2312" w:cs="仿宋_GB2312"/>
          <w:b/>
          <w:bCs/>
          <w:color w:val="000000" w:themeColor="text1"/>
          <w:szCs w:val="21"/>
          <w:highlight w:val="none"/>
          <w14:textFill>
            <w14:solidFill>
              <w14:schemeClr w14:val="tx1"/>
            </w14:solidFill>
          </w14:textFill>
        </w:rPr>
        <w:t>五.考核要求</w:t>
      </w:r>
      <w:r>
        <w:rPr>
          <w:rFonts w:ascii="仿宋_GB2312" w:hAnsi="仿宋_GB2312" w:eastAsia="仿宋_GB2312" w:cs="仿宋_GB2312"/>
          <w:b/>
          <w:bCs/>
          <w:color w:val="000000" w:themeColor="text1"/>
          <w:szCs w:val="21"/>
          <w:highlight w:val="none"/>
          <w14:textFill>
            <w14:solidFill>
              <w14:schemeClr w14:val="tx1"/>
            </w14:solidFill>
          </w14:textFill>
        </w:rPr>
        <w:tab/>
      </w:r>
    </w:p>
    <w:p>
      <w:pPr>
        <w:pStyle w:val="2"/>
        <w:spacing w:line="240" w:lineRule="auto"/>
        <w:ind w:firstLine="420" w:firstLineChars="200"/>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医院定期对中标人进行考核评估，评估分为每月评估和年度评估，每月评估结果与服务费挂钩，年度评估结果作为是否让中标人继续下一年度服务的依据。若考核不合格，医院有权终止合同。</w:t>
      </w:r>
    </w:p>
    <w:p>
      <w:pPr>
        <w:pStyle w:val="2"/>
        <w:spacing w:line="240" w:lineRule="auto"/>
        <w:ind w:firstLine="420" w:firstLineChars="200"/>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每月考核等级分为优、良、一般、差四个等级，若当月评估结果为“差”等级的，医院将提出警告并要求限期整改；若下个月评估结果仍为“差”等级的，将扣除当前季度服务费的10%作为罚金；如全年累计有三个月的评估结果为“差”等级，则医院有权终止合同。另外对不认真履行合同条款、不按规定服务或服务质量不达标，同一季度被市、区、街有关部门检查不合格者或监测病媒生物密度超标的，第一次给予批评警告；第二次扣取当前季度服务费的10%；第三次甲方有权无条件终止合同。</w:t>
      </w:r>
    </w:p>
    <w:p>
      <w:pPr>
        <w:pStyle w:val="7"/>
        <w:spacing w:line="240" w:lineRule="auto"/>
        <w:jc w:val="both"/>
        <w:rPr>
          <w:rFonts w:hint="eastAsia" w:ascii="仿宋_GB2312" w:hAnsi="仿宋_GB2312" w:eastAsia="仿宋_GB2312" w:cs="仿宋_GB2312"/>
          <w:bCs/>
        </w:rPr>
      </w:pPr>
    </w:p>
    <w:p>
      <w:pPr>
        <w:pStyle w:val="7"/>
        <w:spacing w:line="240" w:lineRule="auto"/>
        <w:ind w:firstLine="420" w:firstLineChars="200"/>
        <w:jc w:val="both"/>
        <w:rPr>
          <w:rFonts w:hint="eastAsia" w:ascii="仿宋_GB2312" w:hAnsi="仿宋_GB2312" w:eastAsia="仿宋_GB2312" w:cs="仿宋_GB2312"/>
          <w:bC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C6BC"/>
    <w:multiLevelType w:val="singleLevel"/>
    <w:tmpl w:val="08DBC6BC"/>
    <w:lvl w:ilvl="0" w:tentative="0">
      <w:start w:val="9"/>
      <w:numFmt w:val="decimal"/>
      <w:suff w:val="nothing"/>
      <w:lvlText w:val="%1）"/>
      <w:lvlJc w:val="left"/>
    </w:lvl>
  </w:abstractNum>
  <w:abstractNum w:abstractNumId="1">
    <w:nsid w:val="5913EAB3"/>
    <w:multiLevelType w:val="singleLevel"/>
    <w:tmpl w:val="5913EAB3"/>
    <w:lvl w:ilvl="0" w:tentative="0">
      <w:start w:val="5"/>
      <w:numFmt w:val="decimal"/>
      <w:suff w:val="nothing"/>
      <w:lvlText w:val="%1."/>
      <w:lvlJc w:val="left"/>
    </w:lvl>
  </w:abstractNum>
  <w:abstractNum w:abstractNumId="2">
    <w:nsid w:val="592E1B33"/>
    <w:multiLevelType w:val="singleLevel"/>
    <w:tmpl w:val="592E1B33"/>
    <w:lvl w:ilvl="0" w:tentative="0">
      <w:start w:val="2"/>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05F39"/>
    <w:rsid w:val="0FF41E59"/>
    <w:rsid w:val="11EA3682"/>
    <w:rsid w:val="18657904"/>
    <w:rsid w:val="43BD17CC"/>
    <w:rsid w:val="46A12288"/>
    <w:rsid w:val="59646081"/>
    <w:rsid w:val="599D5FD6"/>
    <w:rsid w:val="5AD57900"/>
    <w:rsid w:val="60B76CBD"/>
    <w:rsid w:val="65011947"/>
    <w:rsid w:val="6A667F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szCs w:val="20"/>
    </w:rPr>
  </w:style>
  <w:style w:type="paragraph" w:styleId="3">
    <w:name w:val="Plain Text"/>
    <w:basedOn w:val="1"/>
    <w:qFormat/>
    <w:uiPriority w:val="0"/>
    <w:rPr>
      <w:rFonts w:ascii="宋体" w:hAnsi="Courier New" w:cs="Courier New"/>
      <w:szCs w:val="21"/>
    </w:rPr>
  </w:style>
  <w:style w:type="paragraph" w:customStyle="1" w:styleId="6">
    <w:name w:val="Table Paragraph"/>
    <w:basedOn w:val="1"/>
    <w:qFormat/>
    <w:uiPriority w:val="1"/>
  </w:style>
  <w:style w:type="paragraph" w:customStyle="1" w:styleId="7">
    <w:name w:val="正文（魔方安全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2020-07-10T06:14:44Z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