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7D9238">
      <w:pPr>
        <w:pStyle w:val="4"/>
        <w:jc w:val="both"/>
      </w:pPr>
      <w:r>
        <w:rPr>
          <w:rFonts w:hint="eastAsia"/>
          <w:b/>
          <w:sz w:val="21"/>
          <w:lang w:val="en-US" w:eastAsia="zh-CN"/>
        </w:rPr>
        <w:t>一</w:t>
      </w:r>
      <w:r>
        <w:rPr>
          <w:b/>
          <w:sz w:val="21"/>
        </w:rPr>
        <w:t>、项目一览表</w:t>
      </w:r>
    </w:p>
    <w:tbl>
      <w:tblPr>
        <w:tblStyle w:val="2"/>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2443"/>
        <w:gridCol w:w="2638"/>
        <w:gridCol w:w="3208"/>
      </w:tblGrid>
      <w:tr w14:paraId="0DA9BF8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44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442693FA">
            <w:pPr>
              <w:pStyle w:val="4"/>
              <w:jc w:val="both"/>
            </w:pPr>
            <w:r>
              <w:rPr>
                <w:sz w:val="21"/>
              </w:rPr>
              <w:t>品目名称</w:t>
            </w:r>
          </w:p>
        </w:tc>
        <w:tc>
          <w:tcPr>
            <w:tcW w:w="2638"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207B71A8">
            <w:pPr>
              <w:pStyle w:val="4"/>
              <w:jc w:val="center"/>
            </w:pPr>
            <w:r>
              <w:rPr>
                <w:b/>
                <w:sz w:val="21"/>
              </w:rPr>
              <w:t>采购内容</w:t>
            </w:r>
          </w:p>
        </w:tc>
        <w:tc>
          <w:tcPr>
            <w:tcW w:w="3208"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13ED46D3">
            <w:pPr>
              <w:pStyle w:val="4"/>
              <w:jc w:val="center"/>
            </w:pPr>
            <w:r>
              <w:rPr>
                <w:b/>
                <w:sz w:val="21"/>
              </w:rPr>
              <w:t>采购预算</w:t>
            </w:r>
          </w:p>
        </w:tc>
      </w:tr>
      <w:tr w14:paraId="3146FB5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443"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4550986">
            <w:pPr>
              <w:pStyle w:val="4"/>
              <w:jc w:val="both"/>
            </w:pPr>
            <w:r>
              <w:rPr>
                <w:sz w:val="21"/>
              </w:rPr>
              <w:t>其他保险服务</w:t>
            </w:r>
          </w:p>
        </w:tc>
        <w:tc>
          <w:tcPr>
            <w:tcW w:w="2638" w:type="dxa"/>
            <w:tcBorders>
              <w:top w:val="nil"/>
              <w:left w:val="nil"/>
              <w:bottom w:val="single" w:color="000000" w:sz="4" w:space="0"/>
              <w:right w:val="single" w:color="000000" w:sz="4" w:space="0"/>
            </w:tcBorders>
            <w:tcMar>
              <w:top w:w="0" w:type="dxa"/>
              <w:left w:w="105" w:type="dxa"/>
              <w:bottom w:w="0" w:type="dxa"/>
              <w:right w:w="105" w:type="dxa"/>
            </w:tcMar>
            <w:vAlign w:val="top"/>
          </w:tcPr>
          <w:p w14:paraId="708DA3CF">
            <w:pPr>
              <w:pStyle w:val="4"/>
              <w:jc w:val="center"/>
            </w:pPr>
            <w:r>
              <w:rPr>
                <w:sz w:val="21"/>
              </w:rPr>
              <w:t>医疗责任保险服务</w:t>
            </w:r>
          </w:p>
        </w:tc>
        <w:tc>
          <w:tcPr>
            <w:tcW w:w="3208" w:type="dxa"/>
            <w:tcBorders>
              <w:top w:val="nil"/>
              <w:left w:val="nil"/>
              <w:bottom w:val="single" w:color="000000" w:sz="4" w:space="0"/>
              <w:right w:val="single" w:color="000000" w:sz="4" w:space="0"/>
            </w:tcBorders>
            <w:tcMar>
              <w:top w:w="0" w:type="dxa"/>
              <w:left w:w="105" w:type="dxa"/>
              <w:bottom w:w="0" w:type="dxa"/>
              <w:right w:w="105" w:type="dxa"/>
            </w:tcMar>
            <w:vAlign w:val="top"/>
          </w:tcPr>
          <w:p w14:paraId="290C314A">
            <w:pPr>
              <w:pStyle w:val="4"/>
              <w:ind w:left="60"/>
              <w:jc w:val="center"/>
            </w:pPr>
            <w:r>
              <w:rPr>
                <w:b/>
                <w:sz w:val="21"/>
              </w:rPr>
              <w:t>人民币4000000.00元</w:t>
            </w:r>
          </w:p>
        </w:tc>
      </w:tr>
    </w:tbl>
    <w:p w14:paraId="0522B86B">
      <w:pPr>
        <w:pStyle w:val="4"/>
        <w:jc w:val="both"/>
      </w:pPr>
      <w:r>
        <w:rPr>
          <w:rFonts w:hint="eastAsia"/>
          <w:b/>
          <w:sz w:val="21"/>
          <w:lang w:val="en-US" w:eastAsia="zh-CN"/>
        </w:rPr>
        <w:t>二</w:t>
      </w:r>
      <w:r>
        <w:rPr>
          <w:b/>
          <w:sz w:val="21"/>
        </w:rPr>
        <w:t>、项目基本情况：</w:t>
      </w:r>
    </w:p>
    <w:p w14:paraId="5F604DE5">
      <w:pPr>
        <w:pStyle w:val="4"/>
        <w:jc w:val="both"/>
      </w:pPr>
      <w:r>
        <w:rPr>
          <w:b/>
          <w:sz w:val="21"/>
        </w:rPr>
        <w:t>（一）采购内容：医疗责任保险服务</w:t>
      </w:r>
    </w:p>
    <w:p w14:paraId="6C711DCF">
      <w:pPr>
        <w:pStyle w:val="4"/>
        <w:jc w:val="both"/>
      </w:pPr>
      <w:r>
        <w:rPr>
          <w:b/>
          <w:sz w:val="21"/>
        </w:rPr>
        <w:t>（二）标的提供时间：</w:t>
      </w:r>
      <w:r>
        <w:rPr>
          <w:sz w:val="21"/>
        </w:rPr>
        <w:t>自保险单生效日零时起计算</w:t>
      </w:r>
      <w:r>
        <w:rPr>
          <w:b/>
          <w:sz w:val="21"/>
        </w:rPr>
        <w:t>一年</w:t>
      </w:r>
      <w:r>
        <w:rPr>
          <w:sz w:val="21"/>
        </w:rPr>
        <w:t>，或累计责任限额用完为止，以先到为准。</w:t>
      </w:r>
    </w:p>
    <w:p w14:paraId="79A72A61">
      <w:pPr>
        <w:pStyle w:val="4"/>
        <w:jc w:val="both"/>
      </w:pPr>
      <w:r>
        <w:rPr>
          <w:b/>
          <w:sz w:val="21"/>
        </w:rPr>
        <w:t>（三）医院基本情况统计（</w:t>
      </w:r>
      <w:r>
        <w:rPr>
          <w:sz w:val="21"/>
        </w:rPr>
        <w:t>预估</w:t>
      </w:r>
      <w:r>
        <w:rPr>
          <w:b/>
          <w:sz w:val="21"/>
        </w:rPr>
        <w:t>）：</w:t>
      </w:r>
      <w:bookmarkStart w:id="0" w:name="_GoBack"/>
      <w:bookmarkEnd w:id="0"/>
    </w:p>
    <w:p w14:paraId="27AA8794">
      <w:pPr>
        <w:pStyle w:val="4"/>
        <w:ind w:firstLine="422"/>
        <w:jc w:val="both"/>
      </w:pPr>
      <w:r>
        <w:rPr>
          <w:b w:val="0"/>
          <w:bCs/>
          <w:sz w:val="21"/>
        </w:rPr>
        <w:t>1、开</w:t>
      </w:r>
      <w:r>
        <w:rPr>
          <w:sz w:val="21"/>
        </w:rPr>
        <w:t>放床位数：2,400</w:t>
      </w:r>
    </w:p>
    <w:p w14:paraId="54DD5DFF">
      <w:pPr>
        <w:pStyle w:val="4"/>
        <w:ind w:firstLine="420"/>
        <w:jc w:val="both"/>
      </w:pPr>
      <w:r>
        <w:rPr>
          <w:sz w:val="21"/>
        </w:rPr>
        <w:t xml:space="preserve">2、年度门诊数：2,426,681  </w:t>
      </w:r>
    </w:p>
    <w:p w14:paraId="1B4F00DB">
      <w:pPr>
        <w:pStyle w:val="4"/>
        <w:ind w:firstLine="420"/>
        <w:jc w:val="both"/>
      </w:pPr>
      <w:r>
        <w:rPr>
          <w:sz w:val="21"/>
        </w:rPr>
        <w:t>3、年度住院人数：73,074</w:t>
      </w:r>
      <w:r>
        <w:rPr>
          <w:b/>
          <w:sz w:val="21"/>
        </w:rPr>
        <w:t xml:space="preserve"> </w:t>
      </w:r>
    </w:p>
    <w:p w14:paraId="39F1DB97">
      <w:pPr>
        <w:pStyle w:val="4"/>
        <w:ind w:firstLine="420"/>
        <w:jc w:val="both"/>
      </w:pPr>
      <w:r>
        <w:rPr>
          <w:sz w:val="21"/>
        </w:rPr>
        <w:t>4、医务人员数：3,328</w:t>
      </w:r>
    </w:p>
    <w:p w14:paraId="5B2F33D9">
      <w:pPr>
        <w:pStyle w:val="4"/>
        <w:jc w:val="both"/>
      </w:pPr>
      <w:r>
        <w:rPr>
          <w:sz w:val="21"/>
        </w:rPr>
        <w:t>（四）被保险人及地址</w:t>
      </w:r>
    </w:p>
    <w:tbl>
      <w:tblPr>
        <w:tblStyle w:val="2"/>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532"/>
        <w:gridCol w:w="6774"/>
      </w:tblGrid>
      <w:tr w14:paraId="4FC5F2D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1535" w:hRule="atLeast"/>
        </w:trPr>
        <w:tc>
          <w:tcPr>
            <w:tcW w:w="153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1ACCC450">
            <w:pPr>
              <w:pStyle w:val="4"/>
              <w:jc w:val="center"/>
            </w:pPr>
            <w:r>
              <w:rPr>
                <w:sz w:val="21"/>
              </w:rPr>
              <w:t>被保险人名称</w:t>
            </w:r>
          </w:p>
        </w:tc>
        <w:tc>
          <w:tcPr>
            <w:tcW w:w="6774"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5043F402">
            <w:pPr>
              <w:pStyle w:val="4"/>
              <w:jc w:val="both"/>
              <w:rPr>
                <w:rFonts w:hint="eastAsia" w:eastAsiaTheme="minorEastAsia"/>
                <w:lang w:eastAsia="zh-CN"/>
              </w:rPr>
            </w:pPr>
            <w:r>
              <w:rPr>
                <w:sz w:val="21"/>
              </w:rPr>
              <w:t>广州医科大学附属妇女儿童医疗中心（广州市妇婴医院、广州市儿童医院、广州市妇女儿童医疗中心、广州市妇幼保健计划生育服务中心、广州市妇女儿童医疗中心互联网医院、广州市妇幼保健院、广州医科大学附属妇女儿童医疗中心增城分院、广州医科大学附属妇女儿童医疗中心南沙院区</w:t>
            </w:r>
            <w:r>
              <w:rPr>
                <w:rFonts w:hint="eastAsia"/>
                <w:sz w:val="21"/>
                <w:lang w:eastAsia="zh-CN"/>
              </w:rPr>
              <w:t>、</w:t>
            </w:r>
            <w:r>
              <w:rPr>
                <w:sz w:val="21"/>
              </w:rPr>
              <w:t>广州医科大学附属妇女儿童医疗中心</w:t>
            </w:r>
            <w:r>
              <w:rPr>
                <w:rFonts w:hint="eastAsia"/>
                <w:sz w:val="21"/>
                <w:lang w:eastAsia="zh-CN"/>
              </w:rPr>
              <w:t>花都</w:t>
            </w:r>
            <w:r>
              <w:rPr>
                <w:sz w:val="21"/>
              </w:rPr>
              <w:t>院区）</w:t>
            </w:r>
          </w:p>
        </w:tc>
      </w:tr>
      <w:tr w14:paraId="5028221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53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F176B85">
            <w:pPr>
              <w:pStyle w:val="4"/>
              <w:jc w:val="center"/>
            </w:pPr>
            <w:r>
              <w:rPr>
                <w:sz w:val="21"/>
              </w:rPr>
              <w:t>被保险人地址</w:t>
            </w:r>
          </w:p>
        </w:tc>
        <w:tc>
          <w:tcPr>
            <w:tcW w:w="6774" w:type="dxa"/>
            <w:tcBorders>
              <w:top w:val="nil"/>
              <w:left w:val="nil"/>
              <w:bottom w:val="single" w:color="000000" w:sz="4" w:space="0"/>
              <w:right w:val="single" w:color="000000" w:sz="4" w:space="0"/>
            </w:tcBorders>
            <w:tcMar>
              <w:top w:w="0" w:type="dxa"/>
              <w:left w:w="105" w:type="dxa"/>
              <w:bottom w:w="0" w:type="dxa"/>
              <w:right w:w="105" w:type="dxa"/>
            </w:tcMar>
            <w:vAlign w:val="top"/>
          </w:tcPr>
          <w:p w14:paraId="0F59E70B">
            <w:pPr>
              <w:pStyle w:val="4"/>
              <w:jc w:val="both"/>
              <w:rPr>
                <w:rFonts w:hint="default" w:eastAsiaTheme="minorEastAsia"/>
                <w:lang w:val="en-US" w:eastAsia="zh-CN"/>
              </w:rPr>
            </w:pPr>
            <w:r>
              <w:rPr>
                <w:sz w:val="21"/>
              </w:rPr>
              <w:t>广州市人民中路402号、广州市人民中路318号、广州市白云区新达路91号、93号（暨升大厦）、广州市金穗路9号、增城区增城大道293号、广州市南沙区黄阁镇蕉门岛市南大道南侧</w:t>
            </w:r>
            <w:r>
              <w:rPr>
                <w:rFonts w:hint="eastAsia"/>
                <w:sz w:val="21"/>
                <w:lang w:eastAsia="zh-CN"/>
              </w:rPr>
              <w:t>、广州市花都区公益北路与平石西路交叉口正南方向</w:t>
            </w:r>
            <w:r>
              <w:rPr>
                <w:rFonts w:hint="eastAsia"/>
                <w:sz w:val="21"/>
                <w:lang w:val="en-US" w:eastAsia="zh-CN"/>
              </w:rPr>
              <w:t>188米左右</w:t>
            </w:r>
          </w:p>
        </w:tc>
      </w:tr>
    </w:tbl>
    <w:p w14:paraId="5B5DADEC">
      <w:pPr>
        <w:pStyle w:val="4"/>
        <w:jc w:val="both"/>
      </w:pPr>
      <w:r>
        <w:rPr>
          <w:b/>
          <w:sz w:val="21"/>
        </w:rPr>
        <w:t>四、服务要求</w:t>
      </w:r>
    </w:p>
    <w:p w14:paraId="3F929B22">
      <w:pPr>
        <w:pStyle w:val="4"/>
        <w:ind w:firstLine="480"/>
        <w:jc w:val="both"/>
      </w:pPr>
      <w:r>
        <w:rPr>
          <w:rFonts w:hint="eastAsia"/>
          <w:sz w:val="21"/>
          <w:lang w:eastAsia="zh-CN"/>
        </w:rPr>
        <w:t>供应商</w:t>
      </w:r>
      <w:r>
        <w:rPr>
          <w:sz w:val="21"/>
        </w:rPr>
        <w:t>在服务期内</w:t>
      </w:r>
      <w:r>
        <w:rPr>
          <w:rFonts w:hint="eastAsia"/>
          <w:sz w:val="21"/>
          <w:lang w:eastAsia="zh-CN"/>
        </w:rPr>
        <w:t>对被保险人</w:t>
      </w:r>
      <w:r>
        <w:rPr>
          <w:sz w:val="21"/>
        </w:rPr>
        <w:t>所有（各类）医务人员在诊疗活动过程中的执业过错，造成患者人身损害依法应承担的经济赔偿责任予以承保。</w:t>
      </w:r>
    </w:p>
    <w:p w14:paraId="7C5A1B10">
      <w:pPr>
        <w:pStyle w:val="4"/>
        <w:jc w:val="both"/>
      </w:pPr>
      <w:r>
        <w:rPr>
          <w:b/>
          <w:sz w:val="21"/>
        </w:rPr>
        <w:t>五、保险方案要求</w:t>
      </w:r>
    </w:p>
    <w:p w14:paraId="7B9B7D4E">
      <w:pPr>
        <w:pStyle w:val="4"/>
        <w:ind w:firstLine="482"/>
        <w:jc w:val="both"/>
      </w:pPr>
      <w:r>
        <w:rPr>
          <w:b/>
          <w:sz w:val="21"/>
        </w:rPr>
        <w:t>（一）保险期限及保险责任</w:t>
      </w:r>
    </w:p>
    <w:p w14:paraId="1E711487">
      <w:pPr>
        <w:pStyle w:val="4"/>
        <w:ind w:firstLine="480"/>
        <w:jc w:val="both"/>
        <w:rPr>
          <w:rFonts w:hint="eastAsia"/>
          <w:sz w:val="21"/>
          <w:lang w:eastAsia="zh-CN"/>
        </w:rPr>
      </w:pPr>
      <w:r>
        <w:rPr>
          <w:rFonts w:hint="eastAsia"/>
          <w:sz w:val="21"/>
          <w:lang w:eastAsia="zh-CN"/>
        </w:rPr>
        <w:t>1、保险期限一年，自签订合同约定的保险期间开始之时起计算。</w:t>
      </w:r>
    </w:p>
    <w:p w14:paraId="70DF18D3">
      <w:pPr>
        <w:pStyle w:val="4"/>
        <w:ind w:firstLine="480"/>
        <w:jc w:val="both"/>
        <w:rPr>
          <w:rFonts w:hint="eastAsia"/>
          <w:sz w:val="21"/>
          <w:lang w:eastAsia="zh-CN"/>
        </w:rPr>
      </w:pPr>
      <w:r>
        <w:rPr>
          <w:rFonts w:hint="eastAsia"/>
          <w:sz w:val="21"/>
          <w:lang w:eastAsia="zh-CN"/>
        </w:rPr>
        <w:t>2、在本保险合同中列明的保险期间或者追溯期内，被保险人或者其医务人员在从事与其资格相符的诊疗活动中发生以下情形之一造成患者人身损害，患者或者其近亲属或者其代理人在保险期间内首次向被保险人提出损害赔偿请求，依照中华人民共和国法律（不包括港、澳、台地区法律）应由被保险人承担的经济赔偿责任，供应商按照本项目约定负责赔偿。</w:t>
      </w:r>
    </w:p>
    <w:p w14:paraId="5401B1FE">
      <w:pPr>
        <w:pStyle w:val="4"/>
        <w:ind w:firstLine="480"/>
        <w:jc w:val="both"/>
        <w:rPr>
          <w:rFonts w:hint="eastAsia"/>
          <w:sz w:val="21"/>
          <w:lang w:eastAsia="zh-CN"/>
        </w:rPr>
      </w:pPr>
      <w:r>
        <w:rPr>
          <w:rFonts w:hint="eastAsia"/>
          <w:sz w:val="21"/>
          <w:lang w:eastAsia="zh-CN"/>
        </w:rPr>
        <w:t>（1）患者在诊疗活动中受到损害，被保险人或者其医务人员有过错的，包括但不限于以下情形：</w:t>
      </w:r>
    </w:p>
    <w:p w14:paraId="35A35EA5">
      <w:pPr>
        <w:pStyle w:val="4"/>
        <w:ind w:firstLine="480"/>
        <w:jc w:val="both"/>
        <w:rPr>
          <w:rFonts w:hint="eastAsia"/>
          <w:sz w:val="21"/>
          <w:lang w:eastAsia="zh-CN"/>
        </w:rPr>
      </w:pPr>
      <w:r>
        <w:rPr>
          <w:rFonts w:hint="eastAsia"/>
          <w:sz w:val="21"/>
          <w:lang w:eastAsia="zh-CN"/>
        </w:rPr>
        <w:t>①医务人员在诊疗活动中未向患者或者其近亲属说明病情和医疗措施，需要实施手术、特殊检查、特殊治疗的，医务人员未及时向患者说明医疗风险、替代医疗方案等情况并取得其明确同意的；</w:t>
      </w:r>
    </w:p>
    <w:p w14:paraId="6932E17D">
      <w:pPr>
        <w:pStyle w:val="4"/>
        <w:ind w:firstLine="480"/>
        <w:jc w:val="both"/>
        <w:rPr>
          <w:rFonts w:hint="eastAsia"/>
          <w:sz w:val="21"/>
          <w:lang w:eastAsia="zh-CN"/>
        </w:rPr>
      </w:pPr>
      <w:r>
        <w:rPr>
          <w:rFonts w:hint="eastAsia"/>
          <w:sz w:val="21"/>
          <w:lang w:eastAsia="zh-CN"/>
        </w:rPr>
        <w:t>②医务人员在诊疗活动中未尽到与当时的医疗水平相应的诊疗义务；</w:t>
      </w:r>
    </w:p>
    <w:p w14:paraId="2F27F29E">
      <w:pPr>
        <w:pStyle w:val="4"/>
        <w:ind w:firstLine="480"/>
        <w:jc w:val="both"/>
        <w:rPr>
          <w:rFonts w:hint="eastAsia"/>
          <w:sz w:val="21"/>
          <w:lang w:eastAsia="zh-CN"/>
        </w:rPr>
      </w:pPr>
      <w:r>
        <w:rPr>
          <w:rFonts w:hint="eastAsia"/>
          <w:sz w:val="21"/>
          <w:lang w:eastAsia="zh-CN"/>
        </w:rPr>
        <w:t>③被保险人其医务人员非故意违反有关诊疗规范的。</w:t>
      </w:r>
    </w:p>
    <w:p w14:paraId="0410F13D">
      <w:pPr>
        <w:pStyle w:val="4"/>
        <w:ind w:firstLine="480"/>
        <w:jc w:val="both"/>
        <w:rPr>
          <w:rFonts w:hint="eastAsia"/>
          <w:sz w:val="21"/>
          <w:lang w:eastAsia="zh-CN"/>
        </w:rPr>
      </w:pPr>
      <w:r>
        <w:rPr>
          <w:rFonts w:hint="eastAsia"/>
          <w:sz w:val="21"/>
          <w:lang w:eastAsia="zh-CN"/>
        </w:rPr>
        <w:t>（2）患者或者其近亲属不配合医疗机构进行符合诊疗规范的诊疗活动导致患者受到损害，但责任归为被保险人或者其医务人员的；</w:t>
      </w:r>
    </w:p>
    <w:p w14:paraId="597CB5B2">
      <w:pPr>
        <w:pStyle w:val="4"/>
        <w:ind w:firstLine="480"/>
        <w:jc w:val="both"/>
        <w:rPr>
          <w:rFonts w:hint="eastAsia"/>
          <w:sz w:val="21"/>
          <w:lang w:eastAsia="zh-CN"/>
        </w:rPr>
      </w:pPr>
      <w:r>
        <w:rPr>
          <w:rFonts w:hint="eastAsia"/>
          <w:sz w:val="21"/>
          <w:lang w:eastAsia="zh-CN"/>
        </w:rPr>
        <w:t>（3）因药品、消毒产品、医疗器械的缺陷或者输入不合格的血液造成患者损害，患者向被保险人请求赔偿的。</w:t>
      </w:r>
    </w:p>
    <w:p w14:paraId="004CE2AC">
      <w:pPr>
        <w:pStyle w:val="4"/>
        <w:ind w:firstLine="482"/>
        <w:jc w:val="both"/>
      </w:pPr>
      <w:r>
        <w:rPr>
          <w:b/>
          <w:sz w:val="21"/>
        </w:rPr>
        <w:t>（二）赔偿细则</w:t>
      </w:r>
    </w:p>
    <w:p w14:paraId="6B46A7AB">
      <w:pPr>
        <w:pStyle w:val="4"/>
        <w:ind w:firstLine="420"/>
        <w:jc w:val="both"/>
      </w:pPr>
      <w:r>
        <w:rPr>
          <w:sz w:val="21"/>
        </w:rPr>
        <w:t>1、本保险所指经济赔偿责任参照《中华人民共和国民法典》、《最高人民法院关于审理人身损害赔偿案件适用法律若干问题的解释》规定计算；</w:t>
      </w:r>
    </w:p>
    <w:p w14:paraId="676B982B">
      <w:pPr>
        <w:pStyle w:val="4"/>
        <w:ind w:firstLine="420"/>
        <w:jc w:val="both"/>
      </w:pPr>
      <w:r>
        <w:rPr>
          <w:sz w:val="21"/>
        </w:rPr>
        <w:t>2、赔偿限额</w:t>
      </w:r>
    </w:p>
    <w:p w14:paraId="41B3EA8F">
      <w:pPr>
        <w:pStyle w:val="4"/>
        <w:ind w:firstLine="420"/>
        <w:jc w:val="both"/>
        <w:rPr>
          <w:sz w:val="21"/>
        </w:rPr>
      </w:pPr>
      <w:r>
        <w:rPr>
          <w:sz w:val="21"/>
        </w:rPr>
        <w:t>2.1全年累计赔偿金额：不少于人民币</w:t>
      </w:r>
      <w:r>
        <w:rPr>
          <w:rFonts w:hint="eastAsia"/>
          <w:sz w:val="21"/>
          <w:highlight w:val="yellow"/>
          <w:lang w:eastAsia="zh-CN"/>
        </w:rPr>
        <w:t>（</w:t>
      </w:r>
      <w:r>
        <w:rPr>
          <w:rFonts w:hint="default" w:ascii="Calibri" w:hAnsi="Calibri" w:cs="Calibri"/>
          <w:b/>
          <w:sz w:val="21"/>
          <w:highlight w:val="yellow"/>
        </w:rPr>
        <w:t>①</w:t>
      </w:r>
      <w:r>
        <w:rPr>
          <w:rFonts w:hint="eastAsia" w:ascii="Calibri" w:hAnsi="Calibri" w:cs="Calibri"/>
          <w:b/>
          <w:sz w:val="21"/>
          <w:highlight w:val="yellow"/>
          <w:lang w:val="en-US" w:eastAsia="zh-CN"/>
        </w:rPr>
        <w:t>+</w:t>
      </w:r>
      <w:r>
        <w:rPr>
          <w:rFonts w:hint="default" w:ascii="Calibri" w:hAnsi="Calibri" w:cs="Calibri"/>
          <w:b/>
          <w:sz w:val="21"/>
          <w:highlight w:val="yellow"/>
        </w:rPr>
        <w:t>②</w:t>
      </w:r>
      <w:r>
        <w:rPr>
          <w:rFonts w:hint="eastAsia"/>
          <w:sz w:val="21"/>
          <w:highlight w:val="yellow"/>
        </w:rPr>
        <w:t>）</w:t>
      </w:r>
      <w:r>
        <w:rPr>
          <w:sz w:val="21"/>
        </w:rPr>
        <w:t>万元，</w:t>
      </w:r>
    </w:p>
    <w:p w14:paraId="1011C5FF">
      <w:pPr>
        <w:pStyle w:val="4"/>
        <w:ind w:firstLine="420"/>
        <w:jc w:val="both"/>
        <w:rPr>
          <w:b/>
          <w:sz w:val="21"/>
        </w:rPr>
      </w:pPr>
      <w:r>
        <w:rPr>
          <w:rFonts w:hint="default" w:ascii="Calibri" w:hAnsi="Calibri" w:cs="Calibri"/>
          <w:b/>
          <w:sz w:val="21"/>
          <w:highlight w:val="yellow"/>
        </w:rPr>
        <w:t>①</w:t>
      </w:r>
      <w:r>
        <w:rPr>
          <w:b/>
          <w:sz w:val="21"/>
        </w:rPr>
        <w:t>赔偿项目：死亡赔偿金、残疾赔偿金、丧葬费、医疗费、被扶养人生活费、精神抚慰金、护理费、律师费(含律师费及律师差旅费）、误工费、住院伙食补助费、营养费、受理费、鉴定费、解剖费，包含</w:t>
      </w:r>
      <w:r>
        <w:rPr>
          <w:rFonts w:hint="eastAsia"/>
          <w:b/>
          <w:sz w:val="21"/>
          <w:lang w:eastAsia="zh-CN"/>
        </w:rPr>
        <w:t>被保险人</w:t>
      </w:r>
      <w:r>
        <w:rPr>
          <w:b/>
          <w:sz w:val="21"/>
        </w:rPr>
        <w:t>可自行和解赔付的赔偿金的累计赔偿金额：不少于人民币</w:t>
      </w:r>
      <w:r>
        <w:rPr>
          <w:rFonts w:hint="eastAsia"/>
          <w:sz w:val="21"/>
          <w:highlight w:val="yellow"/>
          <w:lang w:eastAsia="zh-CN"/>
        </w:rPr>
        <w:t>（</w:t>
      </w:r>
      <w:r>
        <w:rPr>
          <w:rFonts w:hint="eastAsia"/>
          <w:sz w:val="21"/>
          <w:highlight w:val="yellow"/>
        </w:rPr>
        <w:t>供应商报价）</w:t>
      </w:r>
      <w:r>
        <w:rPr>
          <w:b/>
          <w:sz w:val="21"/>
        </w:rPr>
        <w:t>万元；</w:t>
      </w:r>
    </w:p>
    <w:p w14:paraId="02BF1B4A">
      <w:pPr>
        <w:pStyle w:val="4"/>
        <w:ind w:firstLine="420"/>
        <w:jc w:val="both"/>
        <w:rPr>
          <w:b/>
          <w:sz w:val="21"/>
        </w:rPr>
      </w:pPr>
      <w:r>
        <w:rPr>
          <w:rFonts w:hint="default" w:ascii="Calibri" w:hAnsi="Calibri" w:cs="Calibri"/>
          <w:b/>
          <w:sz w:val="21"/>
          <w:highlight w:val="yellow"/>
        </w:rPr>
        <w:t>②</w:t>
      </w:r>
      <w:r>
        <w:rPr>
          <w:b/>
          <w:sz w:val="21"/>
        </w:rPr>
        <w:t>其他赔偿项目（包含住宿费、残疾辅助器具费、交通费、勘验费）累计赔偿金额：不少于人民</w:t>
      </w:r>
      <w:r>
        <w:rPr>
          <w:rFonts w:hint="eastAsia"/>
          <w:b/>
          <w:sz w:val="21"/>
          <w:lang w:val="en-US" w:eastAsia="zh-CN"/>
        </w:rPr>
        <w:t xml:space="preserve"> </w:t>
      </w:r>
      <w:r>
        <w:rPr>
          <w:b/>
          <w:sz w:val="21"/>
        </w:rPr>
        <w:t>币</w:t>
      </w:r>
      <w:r>
        <w:rPr>
          <w:rFonts w:hint="eastAsia"/>
          <w:sz w:val="21"/>
          <w:highlight w:val="yellow"/>
          <w:lang w:eastAsia="zh-CN"/>
        </w:rPr>
        <w:t>（</w:t>
      </w:r>
      <w:r>
        <w:rPr>
          <w:rFonts w:hint="eastAsia"/>
          <w:sz w:val="21"/>
          <w:highlight w:val="yellow"/>
        </w:rPr>
        <w:t>供应商报价）</w:t>
      </w:r>
      <w:r>
        <w:rPr>
          <w:b/>
          <w:sz w:val="21"/>
        </w:rPr>
        <w:t>万元。</w:t>
      </w:r>
    </w:p>
    <w:p w14:paraId="567FAFC1">
      <w:pPr>
        <w:pStyle w:val="4"/>
        <w:ind w:firstLine="420"/>
        <w:jc w:val="both"/>
      </w:pPr>
      <w:r>
        <w:rPr>
          <w:sz w:val="21"/>
        </w:rPr>
        <w:t>2.2每次事故赔偿金额：不少于人民币</w:t>
      </w:r>
      <w:r>
        <w:rPr>
          <w:rFonts w:hint="eastAsia"/>
          <w:sz w:val="21"/>
          <w:highlight w:val="yellow"/>
          <w:lang w:eastAsia="zh-CN"/>
        </w:rPr>
        <w:t>（</w:t>
      </w:r>
      <w:r>
        <w:rPr>
          <w:rFonts w:hint="eastAsia"/>
          <w:sz w:val="21"/>
          <w:highlight w:val="yellow"/>
        </w:rPr>
        <w:t>供应商报价）</w:t>
      </w:r>
      <w:r>
        <w:rPr>
          <w:sz w:val="21"/>
        </w:rPr>
        <w:t>万元。</w:t>
      </w:r>
    </w:p>
    <w:p w14:paraId="7C855179">
      <w:pPr>
        <w:pStyle w:val="4"/>
        <w:spacing w:before="30"/>
        <w:ind w:right="240" w:firstLine="420"/>
        <w:jc w:val="both"/>
        <w:rPr>
          <w:sz w:val="21"/>
        </w:rPr>
      </w:pPr>
      <w:r>
        <w:rPr>
          <w:sz w:val="21"/>
        </w:rPr>
        <w:t>2.3法律费用每次及累计金额：不少于人民币</w:t>
      </w:r>
      <w:r>
        <w:rPr>
          <w:rFonts w:hint="eastAsia"/>
          <w:sz w:val="21"/>
          <w:highlight w:val="yellow"/>
          <w:lang w:eastAsia="zh-CN"/>
        </w:rPr>
        <w:t>（</w:t>
      </w:r>
      <w:r>
        <w:rPr>
          <w:rFonts w:hint="eastAsia"/>
          <w:sz w:val="21"/>
          <w:highlight w:val="yellow"/>
        </w:rPr>
        <w:t>供应商报价）</w:t>
      </w:r>
      <w:r>
        <w:rPr>
          <w:sz w:val="21"/>
        </w:rPr>
        <w:t>万元。</w:t>
      </w:r>
    </w:p>
    <w:p w14:paraId="3AEB3E5A">
      <w:pPr>
        <w:pStyle w:val="4"/>
        <w:spacing w:before="30"/>
        <w:ind w:right="240" w:firstLine="420"/>
        <w:jc w:val="both"/>
      </w:pPr>
      <w:r>
        <w:rPr>
          <w:sz w:val="21"/>
        </w:rPr>
        <w:t>2.4免赔条件：每次事故免赔额：0元</w:t>
      </w:r>
    </w:p>
    <w:p w14:paraId="5966CC19">
      <w:pPr>
        <w:pStyle w:val="4"/>
        <w:spacing w:before="30"/>
        <w:ind w:right="240" w:firstLine="420"/>
        <w:jc w:val="both"/>
      </w:pPr>
      <w:r>
        <w:rPr>
          <w:sz w:val="21"/>
        </w:rPr>
        <w:t>2.5追溯期：三年、</w:t>
      </w:r>
      <w:r>
        <w:rPr>
          <w:rFonts w:hint="eastAsia"/>
          <w:sz w:val="21"/>
        </w:rPr>
        <w:t>从首次投保合同生效之日起算</w:t>
      </w:r>
    </w:p>
    <w:p w14:paraId="6D71C6F9">
      <w:pPr>
        <w:pStyle w:val="4"/>
        <w:spacing w:before="30"/>
        <w:ind w:right="240" w:firstLine="420"/>
        <w:jc w:val="both"/>
      </w:pPr>
      <w:r>
        <w:rPr>
          <w:sz w:val="21"/>
        </w:rPr>
        <w:t>2.6承保基础：期内索赔制</w:t>
      </w:r>
    </w:p>
    <w:p w14:paraId="7B91FBFA">
      <w:pPr>
        <w:pStyle w:val="4"/>
        <w:spacing w:before="30"/>
        <w:ind w:right="240" w:firstLine="420"/>
        <w:jc w:val="both"/>
      </w:pPr>
      <w:r>
        <w:rPr>
          <w:sz w:val="21"/>
        </w:rPr>
        <w:t>2.7 自合同签订后3个工作日内，</w:t>
      </w:r>
      <w:r>
        <w:rPr>
          <w:rFonts w:hint="eastAsia"/>
          <w:sz w:val="21"/>
          <w:lang w:eastAsia="zh-CN"/>
        </w:rPr>
        <w:t>供应商</w:t>
      </w:r>
      <w:r>
        <w:rPr>
          <w:sz w:val="21"/>
        </w:rPr>
        <w:t>对接</w:t>
      </w:r>
      <w:r>
        <w:rPr>
          <w:rFonts w:hint="eastAsia"/>
          <w:sz w:val="21"/>
          <w:lang w:eastAsia="zh-CN"/>
        </w:rPr>
        <w:t>被保险人</w:t>
      </w:r>
      <w:r>
        <w:rPr>
          <w:sz w:val="21"/>
        </w:rPr>
        <w:t>的医疗保险经纪人（以下简称经纪人），并通过经纪人处理</w:t>
      </w:r>
      <w:r>
        <w:rPr>
          <w:rFonts w:hint="eastAsia"/>
          <w:sz w:val="21"/>
          <w:lang w:eastAsia="zh-CN"/>
        </w:rPr>
        <w:t>被保险人</w:t>
      </w:r>
      <w:r>
        <w:rPr>
          <w:sz w:val="21"/>
        </w:rPr>
        <w:t>的本项目事宜。</w:t>
      </w:r>
    </w:p>
    <w:p w14:paraId="78ABE747">
      <w:pPr>
        <w:pStyle w:val="4"/>
        <w:spacing w:before="75"/>
        <w:ind w:right="105" w:firstLine="420"/>
        <w:jc w:val="both"/>
      </w:pPr>
      <w:r>
        <w:rPr>
          <w:sz w:val="21"/>
        </w:rPr>
        <w:t>3、</w:t>
      </w:r>
      <w:r>
        <w:rPr>
          <w:b/>
          <w:sz w:val="21"/>
        </w:rPr>
        <w:t>特别约定：</w:t>
      </w:r>
    </w:p>
    <w:p w14:paraId="6279BAB3">
      <w:pPr>
        <w:pStyle w:val="4"/>
        <w:ind w:firstLine="480"/>
        <w:jc w:val="both"/>
        <w:rPr>
          <w:rFonts w:hint="eastAsia"/>
          <w:sz w:val="21"/>
          <w:lang w:eastAsia="zh-CN"/>
        </w:rPr>
      </w:pPr>
      <w:r>
        <w:rPr>
          <w:rFonts w:hint="eastAsia"/>
          <w:sz w:val="21"/>
          <w:lang w:eastAsia="zh-CN"/>
        </w:rPr>
        <w:t>3.1为高效化解医疗纠纷案件，充分保障医疗机构的正常诊疗秩序，并体现构建和谐社会之精神，对于赔偿金额（不含法律费用）在人民币1万元以下（含1万元）的医疗纠纷案件，以及对于被保险人或者其医务人员在从事与其资格相符的诊疗活动中存在过错但没有造成患者人身损害的情况，赔偿金额（不含法律费用）在人民币1万元以下（含1万元）的医疗纠纷案件，被保险人完全有权自主处理并与患方达成赔偿协议，被保险人与患方达成赔偿协议后，供应商应根据此赔偿协议进行保险赔付。每个保险年度被保险人通过自主处理此类案件的赔偿金额（不含法律费用）累计不超过应缴保费的10%，自主处理次数不限。</w:t>
      </w:r>
    </w:p>
    <w:p w14:paraId="45F414C1">
      <w:pPr>
        <w:pStyle w:val="4"/>
        <w:ind w:firstLine="480"/>
        <w:jc w:val="both"/>
        <w:rPr>
          <w:highlight w:val="none"/>
        </w:rPr>
      </w:pPr>
      <w:r>
        <w:rPr>
          <w:rFonts w:hint="eastAsia"/>
          <w:sz w:val="21"/>
          <w:lang w:eastAsia="zh-CN"/>
        </w:rPr>
        <w:t>3.2发生医疗纠纷后，医患双方可选择在广州市任何一家依法设立的医疗纠纷人民调解委员会进行调解，保险理赔与医调委依法衔接，属于保险责任范围的，供应商将医疗纠纷人民调解委员会出具的医疗纠纷人民调解协议书作为医疗责任险的理赔</w:t>
      </w:r>
      <w:r>
        <w:rPr>
          <w:sz w:val="21"/>
          <w:highlight w:val="none"/>
        </w:rPr>
        <w:t>依据，按照本项目约定及时、足额支付赔偿款项。依法设立的人民调解委员会的人民调解员对于赔偿处理额度在人民币</w:t>
      </w:r>
      <w:r>
        <w:rPr>
          <w:sz w:val="21"/>
          <w:highlight w:val="yellow"/>
          <w:u w:val="single"/>
        </w:rPr>
        <w:t>1万元</w:t>
      </w:r>
      <w:r>
        <w:rPr>
          <w:sz w:val="21"/>
          <w:highlight w:val="none"/>
        </w:rPr>
        <w:t>以内的医疗纠纷案件可自主主导医患纠纷当事人达成调解协议，</w:t>
      </w:r>
      <w:r>
        <w:rPr>
          <w:rFonts w:hint="eastAsia"/>
          <w:sz w:val="21"/>
          <w:highlight w:val="none"/>
          <w:lang w:eastAsia="zh-CN"/>
        </w:rPr>
        <w:t>供应商</w:t>
      </w:r>
      <w:r>
        <w:rPr>
          <w:sz w:val="21"/>
          <w:highlight w:val="none"/>
        </w:rPr>
        <w:t>依据调解协议和本项目约定负责赔偿。</w:t>
      </w:r>
    </w:p>
    <w:p w14:paraId="0BA510A3">
      <w:pPr>
        <w:pStyle w:val="4"/>
        <w:ind w:firstLine="480"/>
        <w:jc w:val="both"/>
        <w:rPr>
          <w:rFonts w:hint="eastAsia"/>
          <w:sz w:val="21"/>
          <w:lang w:eastAsia="zh-CN"/>
        </w:rPr>
      </w:pPr>
      <w:r>
        <w:rPr>
          <w:rFonts w:hint="eastAsia"/>
          <w:sz w:val="21"/>
          <w:lang w:eastAsia="zh-CN"/>
        </w:rPr>
        <w:t>3.3发生在保险期限（包含追溯期）内的纠纷案件，符合承保范围的，经以下方式调解成功的案件，所有赔偿费用、医疗欠费及法律费用，供应商全额予以支付。</w:t>
      </w:r>
    </w:p>
    <w:p w14:paraId="1D1F2579">
      <w:pPr>
        <w:pStyle w:val="4"/>
        <w:ind w:firstLine="480"/>
        <w:jc w:val="both"/>
        <w:rPr>
          <w:rFonts w:hint="eastAsia"/>
          <w:sz w:val="21"/>
          <w:lang w:eastAsia="zh-CN"/>
        </w:rPr>
      </w:pPr>
      <w:r>
        <w:rPr>
          <w:rFonts w:hint="eastAsia"/>
          <w:sz w:val="21"/>
          <w:lang w:eastAsia="zh-CN"/>
        </w:rPr>
        <w:t>（1）经医患纠纷人民调解委员会调解；</w:t>
      </w:r>
    </w:p>
    <w:p w14:paraId="5EC34353">
      <w:pPr>
        <w:pStyle w:val="4"/>
        <w:ind w:firstLine="480"/>
        <w:jc w:val="both"/>
        <w:rPr>
          <w:rFonts w:hint="eastAsia"/>
          <w:sz w:val="21"/>
          <w:lang w:eastAsia="zh-CN"/>
        </w:rPr>
      </w:pPr>
      <w:r>
        <w:rPr>
          <w:rFonts w:hint="eastAsia"/>
          <w:sz w:val="21"/>
          <w:lang w:eastAsia="zh-CN"/>
        </w:rPr>
        <w:t>（2）经街道综合治理办公室人民调解委员会调解；</w:t>
      </w:r>
    </w:p>
    <w:p w14:paraId="6D5BBFD7">
      <w:pPr>
        <w:pStyle w:val="4"/>
        <w:ind w:firstLine="480"/>
        <w:jc w:val="both"/>
        <w:rPr>
          <w:rFonts w:hint="eastAsia"/>
          <w:sz w:val="21"/>
          <w:lang w:eastAsia="zh-CN"/>
        </w:rPr>
      </w:pPr>
      <w:r>
        <w:rPr>
          <w:rFonts w:hint="eastAsia"/>
          <w:sz w:val="21"/>
          <w:lang w:eastAsia="zh-CN"/>
        </w:rPr>
        <w:t>（3）经属地综合治理办公室调解；</w:t>
      </w:r>
    </w:p>
    <w:p w14:paraId="29728A1D">
      <w:pPr>
        <w:pStyle w:val="4"/>
        <w:ind w:firstLine="480"/>
        <w:jc w:val="both"/>
        <w:rPr>
          <w:rFonts w:hint="eastAsia"/>
          <w:sz w:val="21"/>
          <w:lang w:eastAsia="zh-CN"/>
        </w:rPr>
      </w:pPr>
      <w:r>
        <w:rPr>
          <w:rFonts w:hint="eastAsia"/>
          <w:sz w:val="21"/>
          <w:lang w:eastAsia="zh-CN"/>
        </w:rPr>
        <w:t>（4）经卫生行政部门调解；</w:t>
      </w:r>
    </w:p>
    <w:p w14:paraId="32872D5B">
      <w:pPr>
        <w:pStyle w:val="4"/>
        <w:ind w:firstLine="480"/>
        <w:jc w:val="both"/>
        <w:rPr>
          <w:rFonts w:hint="eastAsia"/>
          <w:sz w:val="21"/>
          <w:lang w:eastAsia="zh-CN"/>
        </w:rPr>
      </w:pPr>
      <w:r>
        <w:rPr>
          <w:rFonts w:hint="eastAsia"/>
          <w:sz w:val="21"/>
          <w:lang w:eastAsia="zh-CN"/>
        </w:rPr>
        <w:t>（5）经法院调解；</w:t>
      </w:r>
    </w:p>
    <w:p w14:paraId="12B1A543">
      <w:pPr>
        <w:pStyle w:val="4"/>
        <w:ind w:firstLine="480"/>
        <w:jc w:val="both"/>
        <w:rPr>
          <w:rFonts w:hint="eastAsia"/>
          <w:sz w:val="21"/>
          <w:lang w:eastAsia="zh-CN"/>
        </w:rPr>
      </w:pPr>
      <w:r>
        <w:rPr>
          <w:rFonts w:hint="eastAsia"/>
          <w:sz w:val="21"/>
          <w:lang w:eastAsia="zh-CN"/>
        </w:rPr>
        <w:t>（6）经其他合法合规途径调解。</w:t>
      </w:r>
    </w:p>
    <w:p w14:paraId="228A7FA1">
      <w:pPr>
        <w:pStyle w:val="4"/>
        <w:ind w:firstLine="480"/>
        <w:jc w:val="both"/>
        <w:rPr>
          <w:rFonts w:hint="eastAsia"/>
          <w:sz w:val="21"/>
          <w:lang w:eastAsia="zh-CN"/>
        </w:rPr>
      </w:pPr>
      <w:r>
        <w:rPr>
          <w:rFonts w:hint="eastAsia"/>
          <w:sz w:val="21"/>
          <w:lang w:eastAsia="zh-CN"/>
        </w:rPr>
        <w:t>3.4在保险期限内发生的保险事故结案后，患方如因同一事故再次提起赔偿请求（包含但不限于请求赔偿后续治疗费、后续护理费等），经法院判决或者仲裁裁决确定应由被保险人继续承担的医疗损害赔偿费用以及因患方再次提起赔偿请求而产生的应由被保险人承担的法律费用，供应商负责赔偿。</w:t>
      </w:r>
    </w:p>
    <w:p w14:paraId="3DFCF635">
      <w:pPr>
        <w:pStyle w:val="4"/>
        <w:ind w:firstLine="480"/>
        <w:jc w:val="both"/>
        <w:rPr>
          <w:rFonts w:hint="eastAsia"/>
          <w:sz w:val="21"/>
          <w:lang w:eastAsia="zh-CN"/>
        </w:rPr>
      </w:pPr>
      <w:r>
        <w:rPr>
          <w:rFonts w:hint="eastAsia"/>
          <w:sz w:val="21"/>
          <w:lang w:eastAsia="zh-CN"/>
        </w:rPr>
        <w:t>3.5保险事故发生后，被保险人因保险事故而被提起仲裁、诉讼或经调解机构调解、评鉴的，对应由被保险人支付的仲裁或诉讼费用（包括可能产生的案件受理费、鉴定费、勘验费、律师费、解剖费等），以及其他必要的、合理的费用（包括代表被保险人参加医疗损害鉴定或医疗事故鉴定或庭审的人员因参加上述活动而产生的差旅费以及专家咨询费等费用），供应商按照本项目约定负责赔偿。</w:t>
      </w:r>
    </w:p>
    <w:p w14:paraId="37D20AF7">
      <w:pPr>
        <w:pStyle w:val="4"/>
        <w:ind w:firstLine="480"/>
        <w:jc w:val="both"/>
        <w:rPr>
          <w:rFonts w:hint="eastAsia"/>
          <w:sz w:val="21"/>
          <w:lang w:eastAsia="zh-CN"/>
        </w:rPr>
      </w:pPr>
      <w:r>
        <w:rPr>
          <w:rFonts w:hint="eastAsia"/>
          <w:sz w:val="21"/>
          <w:lang w:eastAsia="zh-CN"/>
        </w:rPr>
        <w:t>3.6.1 供应商同意本项目采用医务人员不记名的方式投保，被保险人的投保医务人员数达到实际应投保医务人员数的90%以上（含90%）属于足额投保，低于90%的属于不足额投保，当被保险人的实际医务人员数变更（增加或减少的投保医务人员数超过10%）时，被保险人应及时向供应商申报变更后的医务人员数，供应商与被保险人签订补充协议，供应商根据实际增加或减少的医务人员数以及保险期间的剩余期限增加或退还相应的保险费（增减保险费计算公式=实际增减人数*450元/人*剩余保险期间/365），但所有补充协议的金额累计不得超过原合同金额的百分之十。</w:t>
      </w:r>
    </w:p>
    <w:p w14:paraId="1EF1F4F6">
      <w:pPr>
        <w:pStyle w:val="4"/>
        <w:ind w:firstLine="480"/>
        <w:jc w:val="both"/>
        <w:rPr>
          <w:rFonts w:hint="eastAsia"/>
          <w:sz w:val="21"/>
          <w:lang w:eastAsia="zh-CN"/>
        </w:rPr>
      </w:pPr>
      <w:r>
        <w:rPr>
          <w:rFonts w:hint="eastAsia"/>
          <w:sz w:val="21"/>
          <w:lang w:eastAsia="zh-CN"/>
        </w:rPr>
        <w:t xml:space="preserve">3.6.2被保险人应在合同成立后30日内提供医务人员数的清单（被保险人需盖章）供供应商进行核查，该清单仅供供应商核查人数。如供应商在收到医务人员清单后7个工作日内无异议，则视为足额投保。  </w:t>
      </w:r>
    </w:p>
    <w:p w14:paraId="58BEA22C">
      <w:pPr>
        <w:pStyle w:val="4"/>
        <w:ind w:firstLine="480"/>
        <w:jc w:val="both"/>
        <w:rPr>
          <w:rFonts w:hint="eastAsia"/>
          <w:sz w:val="21"/>
          <w:lang w:eastAsia="zh-CN"/>
        </w:rPr>
      </w:pPr>
      <w:r>
        <w:rPr>
          <w:rFonts w:hint="eastAsia"/>
          <w:sz w:val="21"/>
          <w:lang w:eastAsia="zh-CN"/>
        </w:rPr>
        <w:t>3.7在本项目中列明的保险期间或追溯期内，在被保险人处进行实习的医学生和试用期医学毕业生，经临床带教教师或者指导医师同意并按照临床带教教师或者指导医师的要求在从事诊疗活动过程中造成患者人身损害的，患者或者其近亲属或者其代理人在保险期间内首次向被保险人提出损害赔偿请求，依照中华人民共和国法律应由被保险人承担经济赔偿责任的，供应商按照本项目约定负责赔偿。</w:t>
      </w:r>
    </w:p>
    <w:p w14:paraId="775608EC">
      <w:pPr>
        <w:pStyle w:val="4"/>
        <w:ind w:firstLine="480"/>
        <w:jc w:val="both"/>
        <w:rPr>
          <w:rFonts w:hint="eastAsia"/>
          <w:sz w:val="21"/>
          <w:lang w:eastAsia="zh-CN"/>
        </w:rPr>
      </w:pPr>
      <w:r>
        <w:rPr>
          <w:rFonts w:hint="eastAsia"/>
          <w:sz w:val="21"/>
          <w:lang w:eastAsia="zh-CN"/>
        </w:rPr>
        <w:t>3.8在本项目中列明的保险期间或者追溯期内，在被保险人处进修的医务人员，经指导医师同意并按照指导医师的要求从事诊疗活动过程中造成患者人身损害的，患者或者其近亲属或者其代理人在保险期间内首次向被保险人提出损害赔偿请求，依照中华人民共和国法律应由被保险人承担的经济赔偿责任，供应商按照本项目约定负责赔偿。</w:t>
      </w:r>
    </w:p>
    <w:p w14:paraId="728B4E6E">
      <w:pPr>
        <w:pStyle w:val="4"/>
        <w:ind w:firstLine="480"/>
        <w:jc w:val="both"/>
        <w:rPr>
          <w:rFonts w:hint="eastAsia"/>
          <w:sz w:val="21"/>
          <w:lang w:eastAsia="zh-CN"/>
        </w:rPr>
      </w:pPr>
      <w:r>
        <w:rPr>
          <w:rFonts w:hint="eastAsia"/>
          <w:sz w:val="21"/>
          <w:lang w:eastAsia="zh-CN"/>
        </w:rPr>
        <w:t>3.9供应商同意将被保险人根据外聘合同聘用以及根据卫生行政部门制定的帮扶政策聘用的外聘医务人员，或正常会诊的非本医疗机构的医务人员视为被保险人的医务人员。</w:t>
      </w:r>
    </w:p>
    <w:p w14:paraId="46789322">
      <w:pPr>
        <w:pStyle w:val="4"/>
        <w:ind w:firstLine="480"/>
        <w:jc w:val="both"/>
        <w:rPr>
          <w:rFonts w:hint="eastAsia"/>
          <w:sz w:val="21"/>
          <w:lang w:eastAsia="zh-CN"/>
        </w:rPr>
      </w:pPr>
      <w:r>
        <w:rPr>
          <w:rFonts w:hint="eastAsia"/>
          <w:sz w:val="21"/>
          <w:lang w:eastAsia="zh-CN"/>
        </w:rPr>
        <w:t>3.10在本项目中列明的保险期间或者追溯期内，按照被保险人轮岗管理制度要求的医务人员，在轮岗期间从事诊疗活动过程中造成患者人身损害的，患者或者其近亲属或者其代理人在保险期间内首次向被保险人提出损害赔偿请求，依照中华人民共和国法律应由被保险人承担的经济赔偿责任，供应商按照本项目约定负责赔偿。</w:t>
      </w:r>
    </w:p>
    <w:p w14:paraId="5A627211">
      <w:pPr>
        <w:pStyle w:val="4"/>
        <w:ind w:firstLine="480"/>
        <w:jc w:val="both"/>
        <w:rPr>
          <w:rFonts w:hint="eastAsia"/>
          <w:sz w:val="21"/>
          <w:lang w:eastAsia="zh-CN"/>
        </w:rPr>
      </w:pPr>
      <w:r>
        <w:rPr>
          <w:rFonts w:hint="eastAsia"/>
          <w:sz w:val="21"/>
          <w:lang w:eastAsia="zh-CN"/>
        </w:rPr>
        <w:t>3.11被保险人聘用的医务人员，在注册或变更注册期间或根据卫生行政部门规定及要求到指定区域范围内从事诊疗活动发生的保险事故，属于保险责任范围。</w:t>
      </w:r>
    </w:p>
    <w:p w14:paraId="42ECDB0F">
      <w:pPr>
        <w:pStyle w:val="4"/>
        <w:ind w:firstLine="480"/>
        <w:jc w:val="both"/>
        <w:rPr>
          <w:rFonts w:hint="eastAsia"/>
          <w:sz w:val="21"/>
          <w:lang w:eastAsia="zh-CN"/>
        </w:rPr>
      </w:pPr>
      <w:r>
        <w:rPr>
          <w:rFonts w:hint="eastAsia"/>
          <w:sz w:val="21"/>
          <w:lang w:eastAsia="zh-CN"/>
        </w:rPr>
        <w:t>3.12被保险人因医疗纠纷处理（包含自行和解和人民调解）过程中，为了查明医疗纠纷原因和损失产生的鉴定费以及其他必要的、合理的费用，供应商在本项目约定的法律费用限额内负责赔偿。医疗纠纷是指医患双方因诊疗活动引发的争议。</w:t>
      </w:r>
    </w:p>
    <w:p w14:paraId="08F78DC8">
      <w:pPr>
        <w:pStyle w:val="4"/>
        <w:ind w:firstLine="480"/>
        <w:jc w:val="both"/>
        <w:rPr>
          <w:rFonts w:hint="eastAsia"/>
          <w:sz w:val="21"/>
          <w:lang w:eastAsia="zh-CN"/>
        </w:rPr>
      </w:pPr>
      <w:r>
        <w:rPr>
          <w:rFonts w:hint="eastAsia"/>
          <w:sz w:val="21"/>
          <w:lang w:eastAsia="zh-CN"/>
        </w:rPr>
        <w:t>3.13被保险人向供应商请求赔偿保险金的诉讼时效自被保险人对第三者应负的赔偿责任确定之日起计算。</w:t>
      </w:r>
    </w:p>
    <w:p w14:paraId="36FC37DB">
      <w:pPr>
        <w:pStyle w:val="4"/>
        <w:ind w:firstLine="480"/>
        <w:jc w:val="both"/>
        <w:rPr>
          <w:rFonts w:hint="eastAsia"/>
          <w:sz w:val="21"/>
          <w:lang w:eastAsia="zh-CN"/>
        </w:rPr>
      </w:pPr>
      <w:r>
        <w:rPr>
          <w:rFonts w:hint="eastAsia"/>
          <w:sz w:val="21"/>
          <w:lang w:eastAsia="zh-CN"/>
        </w:rPr>
        <w:t>3.14本项目约定的医患纠纷人民调解委员会指广州市范围内，在政府机关已完成登记和审批等手续的公益性具备调解能力的医调委。</w:t>
      </w:r>
    </w:p>
    <w:p w14:paraId="627B1A25">
      <w:pPr>
        <w:pStyle w:val="4"/>
        <w:ind w:firstLine="480"/>
        <w:jc w:val="both"/>
        <w:rPr>
          <w:rFonts w:hint="eastAsia"/>
          <w:sz w:val="21"/>
          <w:lang w:eastAsia="zh-CN"/>
        </w:rPr>
      </w:pPr>
      <w:r>
        <w:rPr>
          <w:rFonts w:hint="eastAsia"/>
          <w:sz w:val="21"/>
          <w:lang w:eastAsia="zh-CN"/>
        </w:rPr>
        <w:t>3.15本项目所称的“诊疗活动”，也包括在本项目中列明的保险期间或者追溯期内，被保险人或者其医务人员在被保险人自营平台从事与其资格相符的互联网诊疗活动中造成患者人身损害，患者或者其近亲属或者其代理人在保险期间内首次向被保险人提出损害赔偿请求，依照中华人民共和国法律（不包括港、澳、台地区法律）应由被保险人承担经济赔偿责任，供应商按照本项目约定负责赔偿。</w:t>
      </w:r>
    </w:p>
    <w:p w14:paraId="3685E638">
      <w:pPr>
        <w:pStyle w:val="4"/>
        <w:ind w:firstLine="480"/>
        <w:jc w:val="both"/>
        <w:rPr>
          <w:rFonts w:hint="eastAsia"/>
          <w:sz w:val="21"/>
          <w:lang w:eastAsia="zh-CN"/>
        </w:rPr>
      </w:pPr>
      <w:r>
        <w:rPr>
          <w:rFonts w:hint="eastAsia"/>
          <w:sz w:val="21"/>
          <w:lang w:eastAsia="zh-CN"/>
        </w:rPr>
        <w:t>3.16确定患方首次向被保险人提出损害赔偿请求的时间规则：</w:t>
      </w:r>
    </w:p>
    <w:p w14:paraId="3CCCE5E2">
      <w:pPr>
        <w:pStyle w:val="4"/>
        <w:ind w:firstLine="480"/>
        <w:jc w:val="both"/>
        <w:rPr>
          <w:rFonts w:hint="eastAsia"/>
          <w:sz w:val="21"/>
          <w:lang w:eastAsia="zh-CN"/>
        </w:rPr>
      </w:pPr>
      <w:r>
        <w:rPr>
          <w:rFonts w:hint="eastAsia"/>
          <w:sz w:val="21"/>
          <w:lang w:eastAsia="zh-CN"/>
        </w:rPr>
        <w:t>（1）患者接受诊疗活动导致人身损害的时间、患方首次投诉时间和医疗机构报案时间在同一保险期间内的案件，以医疗机构报案时填写的时间为准。</w:t>
      </w:r>
    </w:p>
    <w:p w14:paraId="7DBE7C54">
      <w:pPr>
        <w:pStyle w:val="4"/>
        <w:ind w:firstLine="480"/>
        <w:jc w:val="both"/>
        <w:rPr>
          <w:rFonts w:hint="eastAsia"/>
          <w:sz w:val="21"/>
          <w:lang w:eastAsia="zh-CN"/>
        </w:rPr>
      </w:pPr>
      <w:r>
        <w:rPr>
          <w:rFonts w:hint="eastAsia"/>
          <w:sz w:val="21"/>
          <w:lang w:eastAsia="zh-CN"/>
        </w:rPr>
        <w:t>（2）患者接受诊疗活动导致人身损害的时间、患方首次投诉时间和医疗机构报案时间不在同一保险期内的案件，以下述材料记载时间中最早的日期为准：患方向医疗机构或者行政部门书面投诉材料日期(（患方或患方代理人签字）、司法鉴定（含尸检和医疗事故鉴定）的申请日期、人民调解申请日期、法院传票通知日期等与纠纷相关书面材料。</w:t>
      </w:r>
    </w:p>
    <w:p w14:paraId="213965D9">
      <w:pPr>
        <w:pStyle w:val="4"/>
        <w:ind w:firstLine="480"/>
        <w:jc w:val="both"/>
        <w:rPr>
          <w:rFonts w:hint="eastAsia"/>
          <w:sz w:val="21"/>
          <w:lang w:eastAsia="zh-CN"/>
        </w:rPr>
      </w:pPr>
      <w:r>
        <w:rPr>
          <w:rFonts w:hint="eastAsia"/>
          <w:sz w:val="21"/>
          <w:lang w:eastAsia="zh-CN"/>
        </w:rPr>
        <w:t>3.17 所有的赔偿款项，因供应商怠于赔付而产生的滞纳金、违约金，以及其他不利于被保险人的后果等均由供应商承担。</w:t>
      </w:r>
    </w:p>
    <w:p w14:paraId="7DD072A4">
      <w:pPr>
        <w:pStyle w:val="4"/>
        <w:ind w:firstLine="480"/>
        <w:jc w:val="both"/>
        <w:rPr>
          <w:rFonts w:hint="eastAsia"/>
          <w:sz w:val="21"/>
          <w:lang w:eastAsia="zh-CN"/>
        </w:rPr>
      </w:pPr>
      <w:r>
        <w:rPr>
          <w:rFonts w:hint="eastAsia"/>
          <w:sz w:val="21"/>
          <w:lang w:eastAsia="zh-CN"/>
        </w:rPr>
        <w:t>3.18供应商出具的《保险单》需加盖供应商公章，同时要有法人签名或加盖供应商保单专用章，《保险单》作为合同补充协议，必须经被保险人律师书面审核并出具《法律顾问工作联系函》及其审核的附件《保险单》，确认保险单内容与采购合同内容性质相符且与采购合同内容一致后，被保险人方可根据结算要求对应支付款项；如不一致，供应商必须按照被保险人的律师意见在10个工作日内完成修订且符合要求，否则视为供应商违约，按合同违约条款处理，一切责任与损失由供应商负责。</w:t>
      </w:r>
    </w:p>
    <w:p w14:paraId="34D429B3">
      <w:pPr>
        <w:pStyle w:val="4"/>
        <w:ind w:firstLine="422"/>
        <w:jc w:val="left"/>
        <w:rPr>
          <w:highlight w:val="none"/>
        </w:rPr>
      </w:pPr>
      <w:r>
        <w:rPr>
          <w:b/>
          <w:sz w:val="21"/>
          <w:highlight w:val="none"/>
        </w:rPr>
        <w:t>4. 赔偿金履行约定</w:t>
      </w:r>
    </w:p>
    <w:p w14:paraId="493FDD93">
      <w:pPr>
        <w:pStyle w:val="4"/>
        <w:ind w:firstLine="420"/>
        <w:jc w:val="left"/>
        <w:rPr>
          <w:highlight w:val="none"/>
        </w:rPr>
      </w:pPr>
      <w:r>
        <w:rPr>
          <w:sz w:val="21"/>
          <w:highlight w:val="none"/>
        </w:rPr>
        <w:t>（1）如</w:t>
      </w:r>
      <w:r>
        <w:rPr>
          <w:rFonts w:hint="eastAsia"/>
          <w:sz w:val="21"/>
          <w:highlight w:val="none"/>
          <w:lang w:eastAsia="zh-CN"/>
        </w:rPr>
        <w:t>供应商</w:t>
      </w:r>
      <w:r>
        <w:rPr>
          <w:sz w:val="21"/>
          <w:highlight w:val="none"/>
        </w:rPr>
        <w:t>未如期履行赔偿责任，</w:t>
      </w:r>
      <w:r>
        <w:rPr>
          <w:rFonts w:hint="eastAsia"/>
          <w:sz w:val="21"/>
          <w:highlight w:val="none"/>
          <w:lang w:eastAsia="zh-CN"/>
        </w:rPr>
        <w:t>被保险人</w:t>
      </w:r>
      <w:r>
        <w:rPr>
          <w:sz w:val="21"/>
          <w:highlight w:val="none"/>
        </w:rPr>
        <w:t>向</w:t>
      </w:r>
      <w:r>
        <w:rPr>
          <w:rFonts w:hint="eastAsia"/>
          <w:sz w:val="21"/>
          <w:highlight w:val="none"/>
          <w:lang w:eastAsia="zh-CN"/>
        </w:rPr>
        <w:t>供应商</w:t>
      </w:r>
      <w:r>
        <w:rPr>
          <w:sz w:val="21"/>
          <w:highlight w:val="none"/>
        </w:rPr>
        <w:t>请求赔偿金的诉讼时效期间为3年，自</w:t>
      </w:r>
      <w:r>
        <w:rPr>
          <w:rFonts w:hint="eastAsia"/>
          <w:sz w:val="21"/>
          <w:highlight w:val="none"/>
          <w:lang w:eastAsia="zh-CN"/>
        </w:rPr>
        <w:t>供应商</w:t>
      </w:r>
      <w:r>
        <w:rPr>
          <w:sz w:val="21"/>
          <w:highlight w:val="none"/>
        </w:rPr>
        <w:t>书面拒赔之日起计算。</w:t>
      </w:r>
    </w:p>
    <w:p w14:paraId="4F0585E3">
      <w:pPr>
        <w:pStyle w:val="4"/>
        <w:ind w:firstLine="420"/>
        <w:jc w:val="left"/>
        <w:rPr>
          <w:sz w:val="21"/>
          <w:highlight w:val="none"/>
        </w:rPr>
      </w:pPr>
      <w:r>
        <w:rPr>
          <w:sz w:val="21"/>
          <w:highlight w:val="none"/>
        </w:rPr>
        <w:t>（2）患者有欠费的，在保险理赔金额范围内，</w:t>
      </w:r>
      <w:r>
        <w:rPr>
          <w:rFonts w:hint="eastAsia"/>
          <w:sz w:val="21"/>
          <w:highlight w:val="none"/>
          <w:lang w:eastAsia="zh-CN"/>
        </w:rPr>
        <w:t>供应商</w:t>
      </w:r>
      <w:r>
        <w:rPr>
          <w:sz w:val="21"/>
          <w:highlight w:val="none"/>
        </w:rPr>
        <w:t>需优先将患者欠费部分支付给</w:t>
      </w:r>
      <w:r>
        <w:rPr>
          <w:rFonts w:hint="eastAsia"/>
          <w:sz w:val="21"/>
          <w:highlight w:val="none"/>
          <w:lang w:eastAsia="zh-CN"/>
        </w:rPr>
        <w:t>被保险人</w:t>
      </w:r>
      <w:r>
        <w:rPr>
          <w:sz w:val="21"/>
          <w:highlight w:val="none"/>
        </w:rPr>
        <w:t>，剩余部分方可用于补偿患方。</w:t>
      </w:r>
    </w:p>
    <w:p w14:paraId="0532217A">
      <w:pPr>
        <w:pStyle w:val="4"/>
        <w:ind w:firstLine="422"/>
        <w:jc w:val="left"/>
        <w:rPr>
          <w:rFonts w:hint="default"/>
          <w:sz w:val="21"/>
          <w:lang w:val="en-US"/>
        </w:rPr>
      </w:pPr>
      <w:r>
        <w:rPr>
          <w:rFonts w:hint="eastAsia"/>
          <w:b/>
          <w:sz w:val="21"/>
          <w:highlight w:val="none"/>
          <w:lang w:val="en-US" w:eastAsia="zh-CN"/>
        </w:rPr>
        <w:t>5. 理赔、核损核赔时效</w:t>
      </w:r>
    </w:p>
    <w:p w14:paraId="7CEA224F">
      <w:pPr>
        <w:pStyle w:val="4"/>
        <w:ind w:firstLine="420"/>
        <w:jc w:val="left"/>
      </w:pPr>
      <w:r>
        <w:rPr>
          <w:sz w:val="21"/>
        </w:rPr>
        <w:t>（</w:t>
      </w:r>
      <w:r>
        <w:rPr>
          <w:rFonts w:hint="eastAsia"/>
          <w:sz w:val="21"/>
          <w:lang w:val="en-US" w:eastAsia="zh-CN"/>
        </w:rPr>
        <w:t>1</w:t>
      </w:r>
      <w:r>
        <w:rPr>
          <w:sz w:val="21"/>
        </w:rPr>
        <w:t>）快速理赔</w:t>
      </w:r>
    </w:p>
    <w:p w14:paraId="4E6249C0">
      <w:pPr>
        <w:pStyle w:val="4"/>
        <w:ind w:firstLine="420"/>
        <w:jc w:val="left"/>
      </w:pPr>
      <w:r>
        <w:rPr>
          <w:rFonts w:hint="eastAsia"/>
          <w:sz w:val="21"/>
          <w:lang w:eastAsia="zh-CN"/>
        </w:rPr>
        <w:t>供应商</w:t>
      </w:r>
      <w:r>
        <w:rPr>
          <w:sz w:val="21"/>
        </w:rPr>
        <w:t>设立案件分派系统，并匹配理赔专家，以最高效简洁的流程服务于</w:t>
      </w:r>
      <w:r>
        <w:rPr>
          <w:rFonts w:hint="eastAsia"/>
          <w:sz w:val="21"/>
          <w:lang w:eastAsia="zh-CN"/>
        </w:rPr>
        <w:t>被保险人</w:t>
      </w:r>
      <w:r>
        <w:rPr>
          <w:sz w:val="21"/>
        </w:rPr>
        <w:t>。发生保险责任范围内事故后，对事实清楚，法律责任明确，属于本保险合同保险责任范围的，</w:t>
      </w:r>
      <w:r>
        <w:rPr>
          <w:rFonts w:hint="eastAsia"/>
          <w:sz w:val="21"/>
          <w:lang w:eastAsia="zh-CN"/>
        </w:rPr>
        <w:t>供应商</w:t>
      </w:r>
      <w:r>
        <w:rPr>
          <w:sz w:val="21"/>
        </w:rPr>
        <w:t>对理赔时效做出以下承诺：</w:t>
      </w:r>
    </w:p>
    <w:tbl>
      <w:tblPr>
        <w:tblStyle w:val="2"/>
        <w:tblW w:w="0" w:type="auto"/>
        <w:tblInd w:w="105"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641"/>
        <w:gridCol w:w="4134"/>
        <w:gridCol w:w="3431"/>
      </w:tblGrid>
      <w:tr w14:paraId="3359EA8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14:paraId="64127F79">
            <w:pPr>
              <w:pStyle w:val="4"/>
              <w:jc w:val="center"/>
            </w:pPr>
            <w:r>
              <w:rPr>
                <w:sz w:val="21"/>
              </w:rPr>
              <w:t>序号</w:t>
            </w:r>
          </w:p>
        </w:tc>
        <w:tc>
          <w:tcPr>
            <w:tcW w:w="4183" w:type="dxa"/>
            <w:tcBorders>
              <w:top w:val="single" w:color="000000" w:sz="4" w:space="0"/>
              <w:left w:val="nil"/>
              <w:bottom w:val="single" w:color="000000" w:sz="4" w:space="0"/>
              <w:right w:val="single" w:color="000000" w:sz="4" w:space="0"/>
            </w:tcBorders>
            <w:tcMar>
              <w:top w:w="0" w:type="dxa"/>
              <w:left w:w="0" w:type="dxa"/>
              <w:bottom w:w="0" w:type="dxa"/>
              <w:right w:w="0" w:type="dxa"/>
            </w:tcMar>
            <w:vAlign w:val="top"/>
          </w:tcPr>
          <w:p w14:paraId="1A085723">
            <w:pPr>
              <w:pStyle w:val="4"/>
              <w:jc w:val="center"/>
            </w:pPr>
            <w:r>
              <w:rPr>
                <w:sz w:val="21"/>
              </w:rPr>
              <w:t>赔案金额（人民币）</w:t>
            </w:r>
          </w:p>
        </w:tc>
        <w:tc>
          <w:tcPr>
            <w:tcW w:w="3476" w:type="dxa"/>
            <w:tcBorders>
              <w:top w:val="single" w:color="000000" w:sz="4" w:space="0"/>
              <w:left w:val="nil"/>
              <w:bottom w:val="single" w:color="000000" w:sz="4" w:space="0"/>
              <w:right w:val="single" w:color="000000" w:sz="4" w:space="0"/>
            </w:tcBorders>
            <w:tcMar>
              <w:top w:w="0" w:type="dxa"/>
              <w:left w:w="0" w:type="dxa"/>
              <w:bottom w:w="0" w:type="dxa"/>
              <w:right w:w="0" w:type="dxa"/>
            </w:tcMar>
            <w:vAlign w:val="top"/>
          </w:tcPr>
          <w:p w14:paraId="7832B3E4">
            <w:pPr>
              <w:pStyle w:val="4"/>
              <w:jc w:val="center"/>
            </w:pPr>
            <w:r>
              <w:rPr>
                <w:sz w:val="21"/>
              </w:rPr>
              <w:t>作出赔付的时间</w:t>
            </w:r>
          </w:p>
        </w:tc>
      </w:tr>
      <w:tr w14:paraId="3FDC5F1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7"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6B2A783D">
            <w:pPr>
              <w:pStyle w:val="4"/>
              <w:jc w:val="center"/>
            </w:pPr>
            <w:r>
              <w:rPr>
                <w:sz w:val="21"/>
              </w:rPr>
              <w:t>1</w:t>
            </w:r>
          </w:p>
        </w:tc>
        <w:tc>
          <w:tcPr>
            <w:tcW w:w="4183" w:type="dxa"/>
            <w:tcBorders>
              <w:top w:val="nil"/>
              <w:left w:val="nil"/>
              <w:bottom w:val="single" w:color="000000" w:sz="4" w:space="0"/>
              <w:right w:val="single" w:color="000000" w:sz="4" w:space="0"/>
            </w:tcBorders>
            <w:tcMar>
              <w:top w:w="0" w:type="dxa"/>
              <w:left w:w="0" w:type="dxa"/>
              <w:bottom w:w="0" w:type="dxa"/>
              <w:right w:w="0" w:type="dxa"/>
            </w:tcMar>
            <w:vAlign w:val="top"/>
          </w:tcPr>
          <w:p w14:paraId="3E381B0A">
            <w:pPr>
              <w:pStyle w:val="4"/>
              <w:jc w:val="center"/>
            </w:pPr>
            <w:r>
              <w:rPr>
                <w:sz w:val="21"/>
              </w:rPr>
              <w:t>1万元以下（含1万元）</w:t>
            </w:r>
          </w:p>
        </w:tc>
        <w:tc>
          <w:tcPr>
            <w:tcW w:w="3476" w:type="dxa"/>
            <w:tcBorders>
              <w:top w:val="nil"/>
              <w:left w:val="nil"/>
              <w:bottom w:val="single" w:color="000000" w:sz="4" w:space="0"/>
              <w:right w:val="single" w:color="000000" w:sz="4" w:space="0"/>
            </w:tcBorders>
            <w:tcMar>
              <w:top w:w="0" w:type="dxa"/>
              <w:left w:w="0" w:type="dxa"/>
              <w:bottom w:w="0" w:type="dxa"/>
              <w:right w:w="0" w:type="dxa"/>
            </w:tcMar>
            <w:vAlign w:val="top"/>
          </w:tcPr>
          <w:p w14:paraId="7159E14D">
            <w:pPr>
              <w:pStyle w:val="4"/>
              <w:jc w:val="center"/>
            </w:pPr>
            <w:r>
              <w:rPr>
                <w:sz w:val="21"/>
              </w:rPr>
              <w:t>3个工作日内</w:t>
            </w:r>
          </w:p>
        </w:tc>
      </w:tr>
      <w:tr w14:paraId="50FBA52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7"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34B9D064">
            <w:pPr>
              <w:pStyle w:val="4"/>
              <w:jc w:val="center"/>
            </w:pPr>
            <w:r>
              <w:rPr>
                <w:sz w:val="21"/>
              </w:rPr>
              <w:t>2</w:t>
            </w:r>
          </w:p>
        </w:tc>
        <w:tc>
          <w:tcPr>
            <w:tcW w:w="4183" w:type="dxa"/>
            <w:tcBorders>
              <w:top w:val="nil"/>
              <w:left w:val="nil"/>
              <w:bottom w:val="single" w:color="000000" w:sz="4" w:space="0"/>
              <w:right w:val="single" w:color="000000" w:sz="4" w:space="0"/>
            </w:tcBorders>
            <w:tcMar>
              <w:top w:w="0" w:type="dxa"/>
              <w:left w:w="0" w:type="dxa"/>
              <w:bottom w:w="0" w:type="dxa"/>
              <w:right w:w="0" w:type="dxa"/>
            </w:tcMar>
            <w:vAlign w:val="top"/>
          </w:tcPr>
          <w:p w14:paraId="19371216">
            <w:pPr>
              <w:pStyle w:val="4"/>
              <w:jc w:val="center"/>
            </w:pPr>
            <w:r>
              <w:rPr>
                <w:sz w:val="21"/>
              </w:rPr>
              <w:t>1-5万元（不含1万元，含5万元）</w:t>
            </w:r>
          </w:p>
        </w:tc>
        <w:tc>
          <w:tcPr>
            <w:tcW w:w="3476" w:type="dxa"/>
            <w:tcBorders>
              <w:top w:val="nil"/>
              <w:left w:val="nil"/>
              <w:bottom w:val="single" w:color="000000" w:sz="4" w:space="0"/>
              <w:right w:val="single" w:color="000000" w:sz="4" w:space="0"/>
            </w:tcBorders>
            <w:tcMar>
              <w:top w:w="0" w:type="dxa"/>
              <w:left w:w="0" w:type="dxa"/>
              <w:bottom w:w="0" w:type="dxa"/>
              <w:right w:w="0" w:type="dxa"/>
            </w:tcMar>
            <w:vAlign w:val="top"/>
          </w:tcPr>
          <w:p w14:paraId="68A8E986">
            <w:pPr>
              <w:pStyle w:val="4"/>
              <w:jc w:val="center"/>
            </w:pPr>
            <w:r>
              <w:rPr>
                <w:sz w:val="21"/>
              </w:rPr>
              <w:t>5个工作日内</w:t>
            </w:r>
          </w:p>
        </w:tc>
      </w:tr>
      <w:tr w14:paraId="301ACEB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7"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2A585884">
            <w:pPr>
              <w:pStyle w:val="4"/>
              <w:jc w:val="center"/>
            </w:pPr>
            <w:r>
              <w:rPr>
                <w:sz w:val="21"/>
              </w:rPr>
              <w:t>3</w:t>
            </w:r>
          </w:p>
        </w:tc>
        <w:tc>
          <w:tcPr>
            <w:tcW w:w="4183" w:type="dxa"/>
            <w:tcBorders>
              <w:top w:val="nil"/>
              <w:left w:val="nil"/>
              <w:bottom w:val="single" w:color="000000" w:sz="4" w:space="0"/>
              <w:right w:val="single" w:color="000000" w:sz="4" w:space="0"/>
            </w:tcBorders>
            <w:tcMar>
              <w:top w:w="0" w:type="dxa"/>
              <w:left w:w="0" w:type="dxa"/>
              <w:bottom w:w="0" w:type="dxa"/>
              <w:right w:w="0" w:type="dxa"/>
            </w:tcMar>
            <w:vAlign w:val="top"/>
          </w:tcPr>
          <w:p w14:paraId="3A1634CB">
            <w:pPr>
              <w:pStyle w:val="4"/>
              <w:jc w:val="center"/>
            </w:pPr>
            <w:r>
              <w:rPr>
                <w:sz w:val="21"/>
              </w:rPr>
              <w:t>5—20万元（不含5万元，含20万元）</w:t>
            </w:r>
          </w:p>
        </w:tc>
        <w:tc>
          <w:tcPr>
            <w:tcW w:w="3476" w:type="dxa"/>
            <w:tcBorders>
              <w:top w:val="nil"/>
              <w:left w:val="nil"/>
              <w:bottom w:val="single" w:color="000000" w:sz="4" w:space="0"/>
              <w:right w:val="single" w:color="000000" w:sz="4" w:space="0"/>
            </w:tcBorders>
            <w:tcMar>
              <w:top w:w="0" w:type="dxa"/>
              <w:left w:w="0" w:type="dxa"/>
              <w:bottom w:w="0" w:type="dxa"/>
              <w:right w:w="0" w:type="dxa"/>
            </w:tcMar>
            <w:vAlign w:val="top"/>
          </w:tcPr>
          <w:p w14:paraId="2BEF43DF">
            <w:pPr>
              <w:pStyle w:val="4"/>
              <w:jc w:val="center"/>
            </w:pPr>
            <w:r>
              <w:rPr>
                <w:sz w:val="21"/>
              </w:rPr>
              <w:t>7个工作日内</w:t>
            </w:r>
          </w:p>
        </w:tc>
      </w:tr>
      <w:tr w14:paraId="3C2099F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7"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1E10F0EF">
            <w:pPr>
              <w:pStyle w:val="4"/>
              <w:jc w:val="center"/>
            </w:pPr>
            <w:r>
              <w:rPr>
                <w:sz w:val="21"/>
              </w:rPr>
              <w:t>4</w:t>
            </w:r>
          </w:p>
        </w:tc>
        <w:tc>
          <w:tcPr>
            <w:tcW w:w="4183" w:type="dxa"/>
            <w:tcBorders>
              <w:top w:val="nil"/>
              <w:left w:val="nil"/>
              <w:bottom w:val="single" w:color="000000" w:sz="4" w:space="0"/>
              <w:right w:val="single" w:color="000000" w:sz="4" w:space="0"/>
            </w:tcBorders>
            <w:tcMar>
              <w:top w:w="0" w:type="dxa"/>
              <w:left w:w="0" w:type="dxa"/>
              <w:bottom w:w="0" w:type="dxa"/>
              <w:right w:w="0" w:type="dxa"/>
            </w:tcMar>
            <w:vAlign w:val="top"/>
          </w:tcPr>
          <w:p w14:paraId="09AA667B">
            <w:pPr>
              <w:pStyle w:val="4"/>
              <w:jc w:val="center"/>
            </w:pPr>
            <w:r>
              <w:rPr>
                <w:sz w:val="21"/>
              </w:rPr>
              <w:t>20—30万元（不含20万元，含30万元）</w:t>
            </w:r>
          </w:p>
        </w:tc>
        <w:tc>
          <w:tcPr>
            <w:tcW w:w="3476" w:type="dxa"/>
            <w:tcBorders>
              <w:top w:val="nil"/>
              <w:left w:val="nil"/>
              <w:bottom w:val="single" w:color="000000" w:sz="4" w:space="0"/>
              <w:right w:val="single" w:color="000000" w:sz="4" w:space="0"/>
            </w:tcBorders>
            <w:tcMar>
              <w:top w:w="0" w:type="dxa"/>
              <w:left w:w="0" w:type="dxa"/>
              <w:bottom w:w="0" w:type="dxa"/>
              <w:right w:w="0" w:type="dxa"/>
            </w:tcMar>
            <w:vAlign w:val="top"/>
          </w:tcPr>
          <w:p w14:paraId="67395B00">
            <w:pPr>
              <w:pStyle w:val="4"/>
              <w:jc w:val="center"/>
            </w:pPr>
            <w:r>
              <w:rPr>
                <w:sz w:val="21"/>
              </w:rPr>
              <w:t>10个工作日内</w:t>
            </w:r>
          </w:p>
        </w:tc>
      </w:tr>
      <w:tr w14:paraId="00A3E30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7"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4D76D735">
            <w:pPr>
              <w:pStyle w:val="4"/>
              <w:jc w:val="center"/>
            </w:pPr>
            <w:r>
              <w:rPr>
                <w:sz w:val="21"/>
              </w:rPr>
              <w:t>5</w:t>
            </w:r>
          </w:p>
        </w:tc>
        <w:tc>
          <w:tcPr>
            <w:tcW w:w="4183" w:type="dxa"/>
            <w:tcBorders>
              <w:top w:val="nil"/>
              <w:left w:val="nil"/>
              <w:bottom w:val="single" w:color="000000" w:sz="4" w:space="0"/>
              <w:right w:val="single" w:color="000000" w:sz="4" w:space="0"/>
            </w:tcBorders>
            <w:tcMar>
              <w:top w:w="0" w:type="dxa"/>
              <w:left w:w="0" w:type="dxa"/>
              <w:bottom w:w="0" w:type="dxa"/>
              <w:right w:w="0" w:type="dxa"/>
            </w:tcMar>
            <w:vAlign w:val="top"/>
          </w:tcPr>
          <w:p w14:paraId="4526B846">
            <w:pPr>
              <w:pStyle w:val="4"/>
              <w:jc w:val="center"/>
            </w:pPr>
            <w:r>
              <w:rPr>
                <w:sz w:val="21"/>
              </w:rPr>
              <w:t>30万元以上（不含30万元）</w:t>
            </w:r>
          </w:p>
        </w:tc>
        <w:tc>
          <w:tcPr>
            <w:tcW w:w="3476" w:type="dxa"/>
            <w:tcBorders>
              <w:top w:val="nil"/>
              <w:left w:val="nil"/>
              <w:bottom w:val="single" w:color="000000" w:sz="4" w:space="0"/>
              <w:right w:val="single" w:color="000000" w:sz="4" w:space="0"/>
            </w:tcBorders>
            <w:tcMar>
              <w:top w:w="0" w:type="dxa"/>
              <w:left w:w="0" w:type="dxa"/>
              <w:bottom w:w="0" w:type="dxa"/>
              <w:right w:w="0" w:type="dxa"/>
            </w:tcMar>
            <w:vAlign w:val="top"/>
          </w:tcPr>
          <w:p w14:paraId="3F2A8CE5">
            <w:pPr>
              <w:pStyle w:val="4"/>
              <w:jc w:val="center"/>
            </w:pPr>
            <w:r>
              <w:rPr>
                <w:sz w:val="21"/>
              </w:rPr>
              <w:t>15个工作日内</w:t>
            </w:r>
          </w:p>
        </w:tc>
      </w:tr>
    </w:tbl>
    <w:p w14:paraId="71F1E092">
      <w:pPr>
        <w:pStyle w:val="4"/>
        <w:ind w:firstLine="420"/>
        <w:jc w:val="left"/>
        <w:rPr>
          <w:sz w:val="21"/>
          <w:highlight w:val="none"/>
        </w:rPr>
      </w:pPr>
      <w:r>
        <w:rPr>
          <w:sz w:val="21"/>
          <w:highlight w:val="none"/>
        </w:rPr>
        <w:t>（</w:t>
      </w:r>
      <w:r>
        <w:rPr>
          <w:rFonts w:hint="eastAsia"/>
          <w:sz w:val="21"/>
          <w:highlight w:val="none"/>
          <w:lang w:val="en-US" w:eastAsia="zh-CN"/>
        </w:rPr>
        <w:t>2</w:t>
      </w:r>
      <w:r>
        <w:rPr>
          <w:sz w:val="21"/>
          <w:highlight w:val="none"/>
        </w:rPr>
        <w:t>）核损核赔时效</w:t>
      </w:r>
    </w:p>
    <w:p w14:paraId="30571F98">
      <w:pPr>
        <w:pStyle w:val="4"/>
        <w:ind w:firstLine="420"/>
        <w:jc w:val="left"/>
        <w:rPr>
          <w:sz w:val="21"/>
          <w:highlight w:val="none"/>
        </w:rPr>
      </w:pPr>
      <w:r>
        <w:rPr>
          <w:rFonts w:hint="eastAsia"/>
          <w:sz w:val="21"/>
          <w:highlight w:val="none"/>
          <w:lang w:eastAsia="zh-CN"/>
        </w:rPr>
        <w:t>供应商</w:t>
      </w:r>
      <w:r>
        <w:rPr>
          <w:sz w:val="21"/>
          <w:highlight w:val="none"/>
        </w:rPr>
        <w:t>在进行现场查勘后，初步核损金额，收到</w:t>
      </w:r>
      <w:r>
        <w:rPr>
          <w:rFonts w:hint="eastAsia"/>
          <w:sz w:val="21"/>
          <w:highlight w:val="none"/>
          <w:lang w:eastAsia="zh-CN"/>
        </w:rPr>
        <w:t>被保险人</w:t>
      </w:r>
      <w:r>
        <w:rPr>
          <w:sz w:val="21"/>
          <w:highlight w:val="none"/>
        </w:rPr>
        <w:t>保险经纪人提交的完整索赔资料后，在下述规定时间内作出理赔决定，以便快速理赔。</w:t>
      </w:r>
    </w:p>
    <w:tbl>
      <w:tblPr>
        <w:tblStyle w:val="2"/>
        <w:tblW w:w="0" w:type="auto"/>
        <w:tblInd w:w="105"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641"/>
        <w:gridCol w:w="4116"/>
        <w:gridCol w:w="3449"/>
      </w:tblGrid>
      <w:tr w14:paraId="6B567F3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7"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14:paraId="75549FE7">
            <w:pPr>
              <w:pStyle w:val="4"/>
              <w:jc w:val="center"/>
            </w:pPr>
            <w:r>
              <w:rPr>
                <w:sz w:val="21"/>
              </w:rPr>
              <w:t>序号</w:t>
            </w:r>
          </w:p>
        </w:tc>
        <w:tc>
          <w:tcPr>
            <w:tcW w:w="4168" w:type="dxa"/>
            <w:tcBorders>
              <w:top w:val="single" w:color="000000" w:sz="4" w:space="0"/>
              <w:left w:val="nil"/>
              <w:bottom w:val="single" w:color="000000" w:sz="4" w:space="0"/>
              <w:right w:val="single" w:color="000000" w:sz="4" w:space="0"/>
            </w:tcBorders>
            <w:tcMar>
              <w:top w:w="0" w:type="dxa"/>
              <w:left w:w="0" w:type="dxa"/>
              <w:bottom w:w="0" w:type="dxa"/>
              <w:right w:w="0" w:type="dxa"/>
            </w:tcMar>
            <w:vAlign w:val="top"/>
          </w:tcPr>
          <w:p w14:paraId="1C05033E">
            <w:pPr>
              <w:pStyle w:val="4"/>
              <w:jc w:val="center"/>
            </w:pPr>
            <w:r>
              <w:rPr>
                <w:sz w:val="21"/>
              </w:rPr>
              <w:t>索赔金额（人民币）</w:t>
            </w:r>
          </w:p>
        </w:tc>
        <w:tc>
          <w:tcPr>
            <w:tcW w:w="3491" w:type="dxa"/>
            <w:tcBorders>
              <w:top w:val="single" w:color="000000" w:sz="4" w:space="0"/>
              <w:left w:val="nil"/>
              <w:bottom w:val="single" w:color="000000" w:sz="4" w:space="0"/>
              <w:right w:val="single" w:color="000000" w:sz="4" w:space="0"/>
            </w:tcBorders>
            <w:tcMar>
              <w:top w:w="0" w:type="dxa"/>
              <w:left w:w="0" w:type="dxa"/>
              <w:bottom w:w="0" w:type="dxa"/>
              <w:right w:w="0" w:type="dxa"/>
            </w:tcMar>
            <w:vAlign w:val="top"/>
          </w:tcPr>
          <w:p w14:paraId="02537C85">
            <w:pPr>
              <w:pStyle w:val="4"/>
              <w:jc w:val="center"/>
            </w:pPr>
            <w:r>
              <w:rPr>
                <w:sz w:val="21"/>
              </w:rPr>
              <w:t>应向</w:t>
            </w:r>
            <w:r>
              <w:rPr>
                <w:rFonts w:hint="eastAsia"/>
                <w:sz w:val="21"/>
                <w:lang w:eastAsia="zh-CN"/>
              </w:rPr>
              <w:t>被保险人</w:t>
            </w:r>
            <w:r>
              <w:rPr>
                <w:sz w:val="21"/>
              </w:rPr>
              <w:t>提出异议（如有）或作出理赔决定的时间</w:t>
            </w:r>
          </w:p>
        </w:tc>
      </w:tr>
      <w:tr w14:paraId="0386812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7"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60E02DE1">
            <w:pPr>
              <w:pStyle w:val="4"/>
              <w:jc w:val="center"/>
            </w:pPr>
            <w:r>
              <w:rPr>
                <w:sz w:val="21"/>
              </w:rPr>
              <w:t>1</w:t>
            </w:r>
          </w:p>
        </w:tc>
        <w:tc>
          <w:tcPr>
            <w:tcW w:w="4168" w:type="dxa"/>
            <w:tcBorders>
              <w:top w:val="nil"/>
              <w:left w:val="nil"/>
              <w:bottom w:val="single" w:color="000000" w:sz="4" w:space="0"/>
              <w:right w:val="single" w:color="000000" w:sz="4" w:space="0"/>
            </w:tcBorders>
            <w:tcMar>
              <w:top w:w="0" w:type="dxa"/>
              <w:left w:w="0" w:type="dxa"/>
              <w:bottom w:w="0" w:type="dxa"/>
              <w:right w:w="0" w:type="dxa"/>
            </w:tcMar>
            <w:vAlign w:val="top"/>
          </w:tcPr>
          <w:p w14:paraId="2D994B8E">
            <w:pPr>
              <w:pStyle w:val="4"/>
              <w:jc w:val="center"/>
            </w:pPr>
            <w:r>
              <w:rPr>
                <w:sz w:val="21"/>
              </w:rPr>
              <w:t>人民币5万元（含5万元）以下</w:t>
            </w:r>
          </w:p>
        </w:tc>
        <w:tc>
          <w:tcPr>
            <w:tcW w:w="3491" w:type="dxa"/>
            <w:tcBorders>
              <w:top w:val="nil"/>
              <w:left w:val="nil"/>
              <w:bottom w:val="single" w:color="000000" w:sz="4" w:space="0"/>
              <w:right w:val="single" w:color="000000" w:sz="4" w:space="0"/>
            </w:tcBorders>
            <w:tcMar>
              <w:top w:w="0" w:type="dxa"/>
              <w:left w:w="0" w:type="dxa"/>
              <w:bottom w:w="0" w:type="dxa"/>
              <w:right w:w="0" w:type="dxa"/>
            </w:tcMar>
            <w:vAlign w:val="top"/>
          </w:tcPr>
          <w:p w14:paraId="02ABEF47">
            <w:pPr>
              <w:pStyle w:val="4"/>
              <w:jc w:val="center"/>
            </w:pPr>
            <w:r>
              <w:rPr>
                <w:sz w:val="21"/>
              </w:rPr>
              <w:t>在5个工作日内</w:t>
            </w:r>
          </w:p>
        </w:tc>
      </w:tr>
      <w:tr w14:paraId="57E9B5D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7"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07348971">
            <w:pPr>
              <w:pStyle w:val="4"/>
              <w:jc w:val="center"/>
            </w:pPr>
            <w:r>
              <w:rPr>
                <w:sz w:val="21"/>
              </w:rPr>
              <w:t>2</w:t>
            </w:r>
          </w:p>
        </w:tc>
        <w:tc>
          <w:tcPr>
            <w:tcW w:w="4168" w:type="dxa"/>
            <w:tcBorders>
              <w:top w:val="nil"/>
              <w:left w:val="nil"/>
              <w:bottom w:val="single" w:color="000000" w:sz="4" w:space="0"/>
              <w:right w:val="single" w:color="000000" w:sz="4" w:space="0"/>
            </w:tcBorders>
            <w:tcMar>
              <w:top w:w="0" w:type="dxa"/>
              <w:left w:w="0" w:type="dxa"/>
              <w:bottom w:w="0" w:type="dxa"/>
              <w:right w:w="0" w:type="dxa"/>
            </w:tcMar>
            <w:vAlign w:val="top"/>
          </w:tcPr>
          <w:p w14:paraId="4790C0C4">
            <w:pPr>
              <w:pStyle w:val="4"/>
              <w:jc w:val="center"/>
            </w:pPr>
            <w:r>
              <w:rPr>
                <w:sz w:val="21"/>
              </w:rPr>
              <w:t>人民币5-30万元（不含5万元，含30万元）</w:t>
            </w:r>
          </w:p>
        </w:tc>
        <w:tc>
          <w:tcPr>
            <w:tcW w:w="3491" w:type="dxa"/>
            <w:tcBorders>
              <w:top w:val="nil"/>
              <w:left w:val="nil"/>
              <w:bottom w:val="single" w:color="000000" w:sz="4" w:space="0"/>
              <w:right w:val="single" w:color="000000" w:sz="4" w:space="0"/>
            </w:tcBorders>
            <w:tcMar>
              <w:top w:w="0" w:type="dxa"/>
              <w:left w:w="0" w:type="dxa"/>
              <w:bottom w:w="0" w:type="dxa"/>
              <w:right w:w="0" w:type="dxa"/>
            </w:tcMar>
            <w:vAlign w:val="top"/>
          </w:tcPr>
          <w:p w14:paraId="5562BBB7">
            <w:pPr>
              <w:pStyle w:val="4"/>
              <w:jc w:val="center"/>
            </w:pPr>
            <w:r>
              <w:rPr>
                <w:sz w:val="21"/>
              </w:rPr>
              <w:t>在7个工作日内</w:t>
            </w:r>
          </w:p>
        </w:tc>
      </w:tr>
      <w:tr w14:paraId="6E8D7B6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47"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4F788484">
            <w:pPr>
              <w:pStyle w:val="4"/>
              <w:jc w:val="center"/>
            </w:pPr>
            <w:r>
              <w:rPr>
                <w:sz w:val="21"/>
              </w:rPr>
              <w:t>3</w:t>
            </w:r>
          </w:p>
        </w:tc>
        <w:tc>
          <w:tcPr>
            <w:tcW w:w="4168" w:type="dxa"/>
            <w:tcBorders>
              <w:top w:val="nil"/>
              <w:left w:val="nil"/>
              <w:bottom w:val="single" w:color="000000" w:sz="4" w:space="0"/>
              <w:right w:val="single" w:color="000000" w:sz="4" w:space="0"/>
            </w:tcBorders>
            <w:tcMar>
              <w:top w:w="0" w:type="dxa"/>
              <w:left w:w="0" w:type="dxa"/>
              <w:bottom w:w="0" w:type="dxa"/>
              <w:right w:w="0" w:type="dxa"/>
            </w:tcMar>
            <w:vAlign w:val="top"/>
          </w:tcPr>
          <w:p w14:paraId="620967E6">
            <w:pPr>
              <w:pStyle w:val="4"/>
              <w:jc w:val="center"/>
            </w:pPr>
            <w:r>
              <w:rPr>
                <w:sz w:val="21"/>
              </w:rPr>
              <w:t>30万元以上</w:t>
            </w:r>
          </w:p>
        </w:tc>
        <w:tc>
          <w:tcPr>
            <w:tcW w:w="3491" w:type="dxa"/>
            <w:tcBorders>
              <w:top w:val="nil"/>
              <w:left w:val="nil"/>
              <w:bottom w:val="single" w:color="000000" w:sz="4" w:space="0"/>
              <w:right w:val="single" w:color="000000" w:sz="4" w:space="0"/>
            </w:tcBorders>
            <w:tcMar>
              <w:top w:w="0" w:type="dxa"/>
              <w:left w:w="0" w:type="dxa"/>
              <w:bottom w:w="0" w:type="dxa"/>
              <w:right w:w="0" w:type="dxa"/>
            </w:tcMar>
            <w:vAlign w:val="top"/>
          </w:tcPr>
          <w:p w14:paraId="4A3A2D47">
            <w:pPr>
              <w:pStyle w:val="4"/>
              <w:jc w:val="center"/>
            </w:pPr>
            <w:r>
              <w:rPr>
                <w:sz w:val="21"/>
              </w:rPr>
              <w:t>在10个工作日内</w:t>
            </w:r>
          </w:p>
        </w:tc>
      </w:tr>
    </w:tbl>
    <w:p w14:paraId="50F8A079">
      <w:pPr>
        <w:pStyle w:val="4"/>
        <w:ind w:firstLine="422"/>
        <w:jc w:val="left"/>
        <w:rPr>
          <w:rFonts w:hint="eastAsia"/>
          <w:b/>
          <w:sz w:val="21"/>
          <w:highlight w:val="none"/>
          <w:lang w:val="en-US" w:eastAsia="zh-CN"/>
        </w:rPr>
      </w:pPr>
      <w:r>
        <w:rPr>
          <w:rFonts w:hint="eastAsia"/>
          <w:b/>
          <w:sz w:val="21"/>
          <w:highlight w:val="none"/>
          <w:lang w:val="en-US" w:eastAsia="zh-CN"/>
        </w:rPr>
        <w:t>6.其他要求</w:t>
      </w:r>
    </w:p>
    <w:p w14:paraId="5D96F27A">
      <w:pPr>
        <w:pStyle w:val="4"/>
        <w:ind w:firstLine="420"/>
        <w:jc w:val="left"/>
        <w:rPr>
          <w:rFonts w:hint="eastAsia" w:eastAsiaTheme="minorEastAsia"/>
          <w:lang w:eastAsia="zh-CN"/>
        </w:rPr>
      </w:pPr>
      <w:r>
        <w:rPr>
          <w:rFonts w:hint="eastAsia"/>
          <w:sz w:val="21"/>
          <w:highlight w:val="none"/>
          <w:lang w:eastAsia="zh-CN"/>
        </w:rPr>
        <w:t>（1）被保险人聘请经医院授权的代理公司为保险经纪人（合同履行期间，保险经纪人如有变更，以被保险人书面通知为准），为被保险人提供保险经纪服务。供应商应尊重保险经纪人所提涉保要求，尊重其所发挥的督促、协调作用；供应商承诺依法向保险经纪人支付保险经纪佣金（合同金额的25%），供应商与保险经纪人之间的权责、义务等由保险经纪人与之另行签订协议。（提供承诺函并加盖供应商公章）</w:t>
      </w:r>
    </w:p>
    <w:p w14:paraId="0B954CE1">
      <w:pPr>
        <w:pStyle w:val="4"/>
        <w:ind w:firstLine="420"/>
        <w:jc w:val="left"/>
        <w:rPr>
          <w:rFonts w:hint="eastAsia"/>
          <w:sz w:val="21"/>
          <w:highlight w:val="none"/>
          <w:lang w:eastAsia="zh-CN"/>
        </w:rPr>
      </w:pPr>
      <w:r>
        <w:rPr>
          <w:rFonts w:hint="eastAsia"/>
          <w:sz w:val="21"/>
          <w:highlight w:val="none"/>
          <w:lang w:eastAsia="zh-CN"/>
        </w:rPr>
        <w:t>（2）本项目接受供应商按照中国保险监督管理委员会（现国家金融监督管理总局）《关于加强财产保险共保业务管理的通知》要求安排共保及再保，但供应商必须作为主承保人负责承保、理赔服务，不得将承保、理赔服务分配给其他参与共保公司服务。</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154C85"/>
    <w:rsid w:val="1A676352"/>
    <w:rsid w:val="22FF181D"/>
    <w:rsid w:val="25641764"/>
    <w:rsid w:val="37A71721"/>
    <w:rsid w:val="3EA45A8B"/>
    <w:rsid w:val="67154C85"/>
    <w:rsid w:val="6F0054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5053</Words>
  <Characters>5201</Characters>
  <Lines>0</Lines>
  <Paragraphs>0</Paragraphs>
  <TotalTime>43</TotalTime>
  <ScaleCrop>false</ScaleCrop>
  <LinksUpToDate>false</LinksUpToDate>
  <CharactersWithSpaces>5212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2026-08-14T08:40:00Z</dcterms:created>
  <dc:creator>华粤采购 陈工</dc:creator>
  <cp:lastModifiedBy>WPS_1698802286</cp:lastModifiedBy>
  <dcterms:modified xsi:type="dcterms:W3CDTF">2026-08-18T11:08:48Z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13D21FECB4C543A4915FF9802E29561A_13</vt:lpwstr>
  </property>
  <property fmtid="{D5CDD505-2E9C-101B-9397-08002B2CF9AE}" pid="4" name="KSOTemplateDocerSaveRecord">
    <vt:lpwstr>eyJoZGlkIjoiMDQwMDJiNmFhMDM3NjQ3MjA4ZDgxMTM1NDQwNzhmMjkiLCJ1c2VySWQiOiIzODQ2MTA5NTUifQ==</vt:lpwstr>
  </property>
</Properties>
</file>