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7A46">
      <w:pPr>
        <w:pStyle w:val="2"/>
        <w:spacing w:line="360" w:lineRule="auto"/>
        <w:jc w:val="center"/>
        <w:rPr>
          <w:rFonts w:ascii="宋体" w:hAnsi="宋体" w:eastAsia="宋体" w:cs="宋体"/>
          <w:sz w:val="24"/>
          <w:szCs w:val="24"/>
        </w:rPr>
      </w:pPr>
      <w:r>
        <w:rPr>
          <w:rFonts w:hint="eastAsia" w:ascii="宋体" w:hAnsi="宋体" w:eastAsia="宋体" w:cs="宋体"/>
          <w:sz w:val="30"/>
          <w:szCs w:val="30"/>
          <w:lang w:eastAsia="zh-CN"/>
        </w:rPr>
        <w:t>广州医科大学附属妇女儿童医疗中心五院区</w:t>
      </w:r>
      <w:r>
        <w:rPr>
          <w:rFonts w:hint="eastAsia" w:ascii="宋体" w:hAnsi="宋体" w:eastAsia="宋体" w:cs="宋体"/>
          <w:sz w:val="30"/>
          <w:szCs w:val="30"/>
        </w:rPr>
        <w:t>电梯</w:t>
      </w:r>
      <w:r>
        <w:rPr>
          <w:rFonts w:hint="eastAsia" w:ascii="宋体" w:hAnsi="宋体" w:eastAsia="宋体" w:cs="宋体"/>
          <w:sz w:val="30"/>
          <w:szCs w:val="30"/>
          <w:lang w:eastAsia="zh-CN"/>
        </w:rPr>
        <w:t>维</w:t>
      </w:r>
      <w:r>
        <w:rPr>
          <w:rFonts w:hint="eastAsia" w:ascii="宋体" w:hAnsi="宋体" w:eastAsia="宋体" w:cs="宋体"/>
          <w:sz w:val="30"/>
          <w:szCs w:val="30"/>
        </w:rPr>
        <w:t>保</w:t>
      </w:r>
      <w:r>
        <w:rPr>
          <w:rFonts w:hint="eastAsia" w:ascii="宋体" w:hAnsi="宋体" w:eastAsia="宋体" w:cs="宋体"/>
          <w:sz w:val="30"/>
          <w:szCs w:val="30"/>
          <w:lang w:eastAsia="zh-CN"/>
        </w:rPr>
        <w:t>服务项目需求</w:t>
      </w:r>
    </w:p>
    <w:p w14:paraId="390F756E">
      <w:pPr>
        <w:pStyle w:val="5"/>
        <w:tabs>
          <w:tab w:val="left" w:pos="540"/>
        </w:tabs>
        <w:spacing w:before="156" w:beforeLines="50" w:line="360" w:lineRule="auto"/>
        <w:outlineLvl w:val="1"/>
        <w:rPr>
          <w:rFonts w:ascii="仿宋" w:hAnsi="仿宋" w:eastAsia="仿宋" w:cs="仿宋"/>
          <w:b/>
          <w:sz w:val="28"/>
          <w:szCs w:val="28"/>
          <w:lang w:eastAsia="zh-CN"/>
        </w:rPr>
      </w:pPr>
      <w:r>
        <w:rPr>
          <w:rFonts w:hint="eastAsia" w:ascii="仿宋" w:hAnsi="仿宋" w:eastAsia="仿宋" w:cs="仿宋"/>
          <w:b/>
          <w:sz w:val="28"/>
          <w:szCs w:val="28"/>
          <w:lang w:eastAsia="zh-CN"/>
        </w:rPr>
        <w:t>一、有关说明</w:t>
      </w:r>
    </w:p>
    <w:p w14:paraId="2B2490C1">
      <w:pPr>
        <w:numPr>
          <w:ilvl w:val="0"/>
          <w:numId w:val="1"/>
        </w:numPr>
        <w:tabs>
          <w:tab w:val="left" w:pos="567"/>
          <w:tab w:val="clear" w:pos="420"/>
        </w:tabs>
        <w:spacing w:line="360" w:lineRule="auto"/>
        <w:rPr>
          <w:rFonts w:ascii="仿宋" w:hAnsi="仿宋" w:eastAsia="仿宋" w:cs="仿宋"/>
          <w:bCs/>
          <w:sz w:val="24"/>
          <w:szCs w:val="24"/>
        </w:rPr>
      </w:pPr>
      <w:r>
        <w:rPr>
          <w:rFonts w:hint="eastAsia" w:ascii="仿宋" w:hAnsi="仿宋" w:eastAsia="仿宋" w:cs="仿宋"/>
          <w:bCs/>
          <w:sz w:val="24"/>
          <w:szCs w:val="24"/>
        </w:rPr>
        <w:t>投标人须对本项目的采购标的进行整体投标，任何只对本项目采购标的其中一部分内容、数量进行的投标都被视为无效投标。</w:t>
      </w:r>
    </w:p>
    <w:p w14:paraId="6A4F89C5">
      <w:pPr>
        <w:numPr>
          <w:ilvl w:val="0"/>
          <w:numId w:val="1"/>
        </w:numPr>
        <w:tabs>
          <w:tab w:val="left" w:pos="567"/>
          <w:tab w:val="clear" w:pos="420"/>
        </w:tabs>
        <w:spacing w:line="360" w:lineRule="auto"/>
        <w:rPr>
          <w:rFonts w:ascii="仿宋" w:hAnsi="仿宋" w:eastAsia="仿宋" w:cs="仿宋"/>
          <w:sz w:val="24"/>
          <w:szCs w:val="24"/>
        </w:rPr>
      </w:pPr>
      <w:r>
        <w:rPr>
          <w:rFonts w:hint="eastAsia" w:ascii="仿宋" w:hAnsi="仿宋" w:eastAsia="仿宋" w:cs="仿宋"/>
          <w:bCs/>
          <w:sz w:val="24"/>
          <w:szCs w:val="24"/>
        </w:rPr>
        <w:t>采购需求中标注“★”号条款为实质性条款，必须逐条进行响应，有任何一条负偏离的，将导致无效投标。</w:t>
      </w:r>
    </w:p>
    <w:p w14:paraId="30FE8E16">
      <w:pPr>
        <w:pStyle w:val="5"/>
        <w:tabs>
          <w:tab w:val="left" w:pos="540"/>
        </w:tabs>
        <w:spacing w:before="156" w:beforeLines="50" w:line="360" w:lineRule="auto"/>
        <w:outlineLvl w:val="1"/>
        <w:rPr>
          <w:rFonts w:ascii="仿宋" w:hAnsi="仿宋" w:eastAsia="仿宋" w:cs="仿宋"/>
          <w:b/>
          <w:sz w:val="28"/>
          <w:szCs w:val="28"/>
          <w:lang w:eastAsia="zh-CN"/>
        </w:rPr>
      </w:pPr>
      <w:bookmarkStart w:id="0" w:name="_Toc6907"/>
      <w:r>
        <w:rPr>
          <w:rFonts w:hint="eastAsia" w:ascii="仿宋" w:hAnsi="仿宋" w:eastAsia="仿宋" w:cs="仿宋"/>
          <w:b/>
          <w:sz w:val="28"/>
          <w:szCs w:val="28"/>
          <w:lang w:eastAsia="zh-CN"/>
        </w:rPr>
        <w:t>二、采购项目一览表</w:t>
      </w:r>
      <w:bookmarkEnd w:id="0"/>
    </w:p>
    <w:tbl>
      <w:tblPr>
        <w:tblStyle w:val="8"/>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978"/>
        <w:gridCol w:w="2358"/>
        <w:gridCol w:w="1779"/>
      </w:tblGrid>
      <w:tr w14:paraId="1744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29" w:type="pct"/>
            <w:tcBorders>
              <w:top w:val="single" w:color="auto" w:sz="12" w:space="0"/>
            </w:tcBorders>
            <w:shd w:val="clear" w:color="auto" w:fill="EEECE1"/>
            <w:vAlign w:val="center"/>
          </w:tcPr>
          <w:p w14:paraId="5463B5F3">
            <w:pPr>
              <w:spacing w:line="360" w:lineRule="auto"/>
              <w:jc w:val="center"/>
              <w:rPr>
                <w:rFonts w:ascii="仿宋" w:hAnsi="仿宋" w:eastAsia="仿宋" w:cs="仿宋"/>
                <w:b/>
                <w:sz w:val="24"/>
                <w:szCs w:val="24"/>
              </w:rPr>
            </w:pPr>
            <w:r>
              <w:rPr>
                <w:rFonts w:hint="eastAsia" w:ascii="仿宋" w:hAnsi="仿宋" w:eastAsia="仿宋" w:cs="仿宋"/>
                <w:b/>
                <w:sz w:val="24"/>
                <w:szCs w:val="24"/>
              </w:rPr>
              <w:t>服务内容</w:t>
            </w:r>
          </w:p>
        </w:tc>
        <w:tc>
          <w:tcPr>
            <w:tcW w:w="568" w:type="pct"/>
            <w:tcBorders>
              <w:top w:val="single" w:color="auto" w:sz="12" w:space="0"/>
            </w:tcBorders>
            <w:shd w:val="clear" w:color="auto" w:fill="EEECE1"/>
            <w:vAlign w:val="center"/>
          </w:tcPr>
          <w:p w14:paraId="7811336A">
            <w:pPr>
              <w:spacing w:line="360" w:lineRule="auto"/>
              <w:jc w:val="center"/>
              <w:rPr>
                <w:rFonts w:ascii="仿宋" w:hAnsi="仿宋" w:eastAsia="仿宋" w:cs="仿宋"/>
                <w:b/>
                <w:sz w:val="24"/>
                <w:szCs w:val="24"/>
              </w:rPr>
            </w:pPr>
            <w:r>
              <w:rPr>
                <w:rFonts w:hint="eastAsia" w:ascii="仿宋" w:hAnsi="仿宋" w:eastAsia="仿宋" w:cs="仿宋"/>
                <w:b/>
                <w:sz w:val="24"/>
                <w:szCs w:val="24"/>
              </w:rPr>
              <w:t>数量</w:t>
            </w:r>
          </w:p>
        </w:tc>
        <w:tc>
          <w:tcPr>
            <w:tcW w:w="1368" w:type="pct"/>
            <w:tcBorders>
              <w:top w:val="single" w:color="auto" w:sz="12" w:space="0"/>
              <w:right w:val="single" w:color="auto" w:sz="4" w:space="0"/>
            </w:tcBorders>
            <w:shd w:val="clear" w:color="auto" w:fill="EEECE1"/>
            <w:vAlign w:val="center"/>
          </w:tcPr>
          <w:p w14:paraId="00A51B63">
            <w:pPr>
              <w:spacing w:line="360" w:lineRule="auto"/>
              <w:jc w:val="center"/>
              <w:rPr>
                <w:rFonts w:ascii="仿宋" w:hAnsi="仿宋" w:eastAsia="仿宋" w:cs="仿宋"/>
                <w:b/>
                <w:sz w:val="24"/>
                <w:szCs w:val="24"/>
              </w:rPr>
            </w:pPr>
            <w:r>
              <w:rPr>
                <w:rFonts w:hint="eastAsia" w:ascii="仿宋" w:hAnsi="仿宋" w:eastAsia="仿宋" w:cs="仿宋"/>
                <w:b/>
                <w:sz w:val="24"/>
                <w:szCs w:val="24"/>
              </w:rPr>
              <w:t>最高限价</w:t>
            </w:r>
          </w:p>
          <w:p w14:paraId="513BE86C">
            <w:pPr>
              <w:spacing w:line="360" w:lineRule="auto"/>
              <w:jc w:val="center"/>
              <w:rPr>
                <w:rFonts w:ascii="仿宋" w:hAnsi="仿宋" w:eastAsia="仿宋" w:cs="仿宋"/>
                <w:b/>
                <w:sz w:val="24"/>
                <w:szCs w:val="24"/>
              </w:rPr>
            </w:pPr>
            <w:r>
              <w:rPr>
                <w:rFonts w:hint="eastAsia" w:ascii="仿宋" w:hAnsi="仿宋" w:eastAsia="仿宋" w:cs="仿宋"/>
                <w:b/>
                <w:sz w:val="24"/>
                <w:szCs w:val="24"/>
              </w:rPr>
              <w:t>（人民币  元）</w:t>
            </w:r>
          </w:p>
        </w:tc>
        <w:tc>
          <w:tcPr>
            <w:tcW w:w="1033" w:type="pct"/>
            <w:tcBorders>
              <w:top w:val="single" w:color="auto" w:sz="12" w:space="0"/>
              <w:right w:val="single" w:color="auto" w:sz="4" w:space="0"/>
            </w:tcBorders>
            <w:shd w:val="clear" w:color="auto" w:fill="EEECE1"/>
            <w:vAlign w:val="center"/>
          </w:tcPr>
          <w:p w14:paraId="465B5672">
            <w:pPr>
              <w:spacing w:line="360" w:lineRule="auto"/>
              <w:jc w:val="center"/>
              <w:rPr>
                <w:rFonts w:ascii="仿宋" w:hAnsi="仿宋" w:eastAsia="仿宋" w:cs="仿宋"/>
                <w:b/>
                <w:sz w:val="24"/>
                <w:szCs w:val="24"/>
              </w:rPr>
            </w:pPr>
            <w:r>
              <w:rPr>
                <w:rFonts w:hint="eastAsia" w:ascii="仿宋" w:hAnsi="仿宋" w:eastAsia="仿宋" w:cs="仿宋"/>
                <w:b/>
                <w:bCs/>
                <w:sz w:val="24"/>
                <w:szCs w:val="24"/>
              </w:rPr>
              <w:t>所属行业</w:t>
            </w:r>
          </w:p>
        </w:tc>
      </w:tr>
      <w:tr w14:paraId="5B85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029" w:type="pct"/>
            <w:vAlign w:val="center"/>
          </w:tcPr>
          <w:p w14:paraId="1C31566A">
            <w:pPr>
              <w:jc w:val="center"/>
              <w:rPr>
                <w:rFonts w:ascii="仿宋" w:hAnsi="仿宋" w:eastAsia="仿宋" w:cs="仿宋"/>
                <w:bCs/>
                <w:sz w:val="24"/>
                <w:szCs w:val="24"/>
              </w:rPr>
            </w:pPr>
            <w:r>
              <w:rPr>
                <w:rFonts w:hint="eastAsia" w:ascii="仿宋" w:hAnsi="仿宋" w:eastAsia="仿宋" w:cs="仿宋"/>
                <w:b/>
                <w:bCs/>
                <w:sz w:val="24"/>
                <w:szCs w:val="24"/>
              </w:rPr>
              <w:t>珠江新城院区、儿童院区、妇婴院区</w:t>
            </w:r>
            <w:r>
              <w:rPr>
                <w:rFonts w:hint="eastAsia" w:ascii="仿宋" w:hAnsi="仿宋" w:eastAsia="仿宋" w:cs="仿宋"/>
                <w:b/>
                <w:bCs/>
                <w:sz w:val="24"/>
                <w:szCs w:val="24"/>
                <w:lang w:eastAsia="zh-CN"/>
              </w:rPr>
              <w:t>、白云院区</w:t>
            </w:r>
            <w:r>
              <w:rPr>
                <w:rFonts w:hint="eastAsia" w:ascii="仿宋" w:hAnsi="仿宋" w:eastAsia="仿宋" w:cs="仿宋"/>
                <w:b/>
                <w:bCs/>
                <w:sz w:val="24"/>
                <w:szCs w:val="24"/>
              </w:rPr>
              <w:t>及增城院区</w:t>
            </w:r>
            <w:r>
              <w:rPr>
                <w:rFonts w:hint="eastAsia" w:ascii="仿宋" w:hAnsi="仿宋" w:eastAsia="仿宋" w:cs="仿宋"/>
                <w:b/>
                <w:bCs/>
                <w:sz w:val="24"/>
                <w:szCs w:val="24"/>
                <w:lang w:eastAsia="zh-CN"/>
              </w:rPr>
              <w:t>电梯</w:t>
            </w:r>
            <w:r>
              <w:rPr>
                <w:rFonts w:hint="eastAsia" w:ascii="仿宋" w:hAnsi="仿宋" w:eastAsia="仿宋" w:cs="仿宋"/>
                <w:b/>
                <w:bCs/>
                <w:sz w:val="24"/>
                <w:szCs w:val="24"/>
              </w:rPr>
              <w:t>维护保养项目</w:t>
            </w:r>
          </w:p>
        </w:tc>
        <w:tc>
          <w:tcPr>
            <w:tcW w:w="568" w:type="pct"/>
            <w:vAlign w:val="center"/>
          </w:tcPr>
          <w:p w14:paraId="272CFA71">
            <w:pPr>
              <w:jc w:val="center"/>
              <w:rPr>
                <w:rFonts w:ascii="仿宋" w:hAnsi="仿宋" w:eastAsia="仿宋" w:cs="仿宋"/>
                <w:bCs/>
                <w:sz w:val="24"/>
                <w:szCs w:val="24"/>
              </w:rPr>
            </w:pPr>
            <w:r>
              <w:rPr>
                <w:rFonts w:hint="eastAsia" w:ascii="仿宋" w:hAnsi="仿宋" w:eastAsia="仿宋" w:cs="仿宋"/>
                <w:bCs/>
                <w:sz w:val="24"/>
                <w:szCs w:val="24"/>
              </w:rPr>
              <w:t>1项</w:t>
            </w:r>
          </w:p>
        </w:tc>
        <w:tc>
          <w:tcPr>
            <w:tcW w:w="1368" w:type="pct"/>
            <w:tcBorders>
              <w:right w:val="single" w:color="auto" w:sz="4" w:space="0"/>
            </w:tcBorders>
            <w:vAlign w:val="center"/>
          </w:tcPr>
          <w:p w14:paraId="259BFFE8">
            <w:pPr>
              <w:pStyle w:val="11"/>
              <w:spacing w:before="0" w:after="0" w:line="240" w:lineRule="auto"/>
              <w:rPr>
                <w:rFonts w:ascii="仿宋" w:hAnsi="仿宋" w:eastAsia="仿宋" w:cs="仿宋"/>
                <w:spacing w:val="0"/>
                <w:szCs w:val="24"/>
                <w:lang w:eastAsia="zh-CN"/>
              </w:rPr>
            </w:pPr>
            <w:r>
              <w:rPr>
                <w:rFonts w:hint="eastAsia" w:ascii="仿宋" w:hAnsi="仿宋" w:eastAsia="仿宋" w:cs="仿宋"/>
                <w:spacing w:val="0"/>
                <w:szCs w:val="24"/>
                <w:lang w:eastAsia="zh-CN"/>
              </w:rPr>
              <w:t>？</w:t>
            </w:r>
          </w:p>
        </w:tc>
        <w:tc>
          <w:tcPr>
            <w:tcW w:w="1033" w:type="pct"/>
            <w:tcBorders>
              <w:right w:val="single" w:color="auto" w:sz="4" w:space="0"/>
            </w:tcBorders>
            <w:vAlign w:val="center"/>
          </w:tcPr>
          <w:p w14:paraId="67ACCB24">
            <w:pPr>
              <w:pStyle w:val="11"/>
              <w:spacing w:before="0" w:after="0" w:line="240" w:lineRule="auto"/>
              <w:rPr>
                <w:rFonts w:ascii="仿宋" w:hAnsi="仿宋" w:eastAsia="仿宋" w:cs="仿宋"/>
                <w:spacing w:val="0"/>
                <w:szCs w:val="24"/>
              </w:rPr>
            </w:pPr>
            <w:r>
              <w:rPr>
                <w:rFonts w:hint="eastAsia" w:ascii="仿宋" w:hAnsi="仿宋" w:eastAsia="仿宋" w:cs="仿宋"/>
                <w:spacing w:val="0"/>
                <w:szCs w:val="24"/>
              </w:rPr>
              <w:t>其他未列明行业</w:t>
            </w:r>
          </w:p>
        </w:tc>
      </w:tr>
    </w:tbl>
    <w:p w14:paraId="57DF1E96">
      <w:pPr>
        <w:pStyle w:val="5"/>
        <w:spacing w:line="360" w:lineRule="auto"/>
        <w:rPr>
          <w:rFonts w:ascii="仿宋" w:hAnsi="仿宋" w:eastAsia="仿宋" w:cs="仿宋"/>
          <w:b/>
          <w:bCs/>
          <w:sz w:val="24"/>
          <w:szCs w:val="24"/>
        </w:rPr>
      </w:pPr>
      <w:r>
        <w:rPr>
          <w:rFonts w:hint="eastAsia" w:ascii="仿宋" w:hAnsi="仿宋" w:eastAsia="仿宋" w:cs="仿宋"/>
          <w:b/>
          <w:bCs/>
          <w:sz w:val="24"/>
          <w:szCs w:val="24"/>
        </w:rPr>
        <w:t>说明：（1）珠江新城院区、儿童院区、妇婴院区、白云院区</w:t>
      </w:r>
      <w:r>
        <w:rPr>
          <w:rFonts w:hint="eastAsia" w:ascii="仿宋" w:hAnsi="仿宋" w:eastAsia="仿宋" w:cs="仿宋"/>
          <w:b/>
          <w:bCs/>
          <w:sz w:val="24"/>
          <w:szCs w:val="24"/>
          <w:lang w:eastAsia="zh-CN"/>
        </w:rPr>
        <w:t>电梯</w:t>
      </w:r>
      <w:r>
        <w:rPr>
          <w:rFonts w:hint="eastAsia" w:ascii="仿宋" w:hAnsi="仿宋" w:eastAsia="仿宋" w:cs="仿宋"/>
          <w:b/>
          <w:bCs/>
          <w:sz w:val="24"/>
          <w:szCs w:val="24"/>
        </w:rPr>
        <w:t>维保起始时间为202</w:t>
      </w:r>
      <w:r>
        <w:rPr>
          <w:rFonts w:hint="eastAsia" w:ascii="仿宋" w:hAnsi="仿宋" w:eastAsia="仿宋" w:cs="仿宋"/>
          <w:b/>
          <w:bCs/>
          <w:sz w:val="24"/>
          <w:szCs w:val="24"/>
          <w:lang w:eastAsia="zh-CN"/>
        </w:rPr>
        <w:t>6</w:t>
      </w:r>
      <w:r>
        <w:rPr>
          <w:rFonts w:hint="eastAsia" w:ascii="仿宋" w:hAnsi="仿宋" w:eastAsia="仿宋" w:cs="仿宋"/>
          <w:b/>
          <w:bCs/>
          <w:sz w:val="24"/>
          <w:szCs w:val="24"/>
        </w:rPr>
        <w:t>年</w:t>
      </w:r>
      <w:r>
        <w:rPr>
          <w:rFonts w:hint="eastAsia" w:ascii="仿宋" w:hAnsi="仿宋" w:eastAsia="仿宋" w:cs="仿宋"/>
          <w:b/>
          <w:bCs/>
          <w:sz w:val="24"/>
          <w:szCs w:val="24"/>
          <w:lang w:eastAsia="zh-CN"/>
        </w:rPr>
        <w:t>4</w:t>
      </w:r>
      <w:r>
        <w:rPr>
          <w:rFonts w:hint="eastAsia" w:ascii="仿宋" w:hAnsi="仿宋" w:eastAsia="仿宋" w:cs="仿宋"/>
          <w:b/>
          <w:bCs/>
          <w:sz w:val="24"/>
          <w:szCs w:val="24"/>
        </w:rPr>
        <w:t>月</w:t>
      </w:r>
      <w:r>
        <w:rPr>
          <w:rFonts w:hint="eastAsia" w:ascii="仿宋" w:hAnsi="仿宋" w:eastAsia="仿宋" w:cs="仿宋"/>
          <w:b/>
          <w:bCs/>
          <w:sz w:val="24"/>
          <w:szCs w:val="24"/>
          <w:lang w:eastAsia="zh-CN"/>
        </w:rPr>
        <w:t>30</w:t>
      </w:r>
      <w:r>
        <w:rPr>
          <w:rFonts w:hint="eastAsia" w:ascii="仿宋" w:hAnsi="仿宋" w:eastAsia="仿宋" w:cs="仿宋"/>
          <w:b/>
          <w:bCs/>
          <w:sz w:val="24"/>
          <w:szCs w:val="24"/>
        </w:rPr>
        <w:t>日；</w:t>
      </w:r>
    </w:p>
    <w:p w14:paraId="0287D1F8">
      <w:pPr>
        <w:pStyle w:val="5"/>
        <w:spacing w:line="360" w:lineRule="auto"/>
        <w:ind w:firstLine="723" w:firstLineChars="300"/>
        <w:rPr>
          <w:rFonts w:ascii="仿宋" w:hAnsi="仿宋" w:eastAsia="仿宋" w:cs="仿宋"/>
          <w:b/>
          <w:bCs/>
          <w:sz w:val="24"/>
          <w:szCs w:val="24"/>
        </w:rPr>
      </w:pPr>
      <w:r>
        <w:rPr>
          <w:rFonts w:hint="eastAsia" w:ascii="仿宋" w:hAnsi="仿宋" w:eastAsia="仿宋" w:cs="仿宋"/>
          <w:b/>
          <w:bCs/>
          <w:sz w:val="24"/>
          <w:szCs w:val="24"/>
        </w:rPr>
        <w:t>（2）增城院区</w:t>
      </w:r>
      <w:bookmarkStart w:id="1" w:name="OLE_LINK1"/>
      <w:r>
        <w:rPr>
          <w:rFonts w:hint="eastAsia" w:ascii="仿宋" w:hAnsi="仿宋" w:eastAsia="仿宋" w:cs="仿宋"/>
          <w:b/>
          <w:bCs/>
          <w:sz w:val="24"/>
          <w:szCs w:val="24"/>
          <w:lang w:eastAsia="zh-CN"/>
        </w:rPr>
        <w:t>电梯</w:t>
      </w:r>
      <w:r>
        <w:rPr>
          <w:rFonts w:hint="eastAsia" w:ascii="仿宋" w:hAnsi="仿宋" w:eastAsia="仿宋" w:cs="仿宋"/>
          <w:b/>
          <w:bCs/>
          <w:sz w:val="24"/>
          <w:szCs w:val="24"/>
        </w:rPr>
        <w:t>维保</w:t>
      </w:r>
      <w:bookmarkEnd w:id="1"/>
      <w:r>
        <w:rPr>
          <w:rFonts w:hint="eastAsia" w:ascii="仿宋" w:hAnsi="仿宋" w:eastAsia="仿宋" w:cs="仿宋"/>
          <w:b/>
          <w:bCs/>
          <w:sz w:val="24"/>
          <w:szCs w:val="24"/>
        </w:rPr>
        <w:t>起始时间为2025年</w:t>
      </w:r>
      <w:r>
        <w:rPr>
          <w:rFonts w:hint="eastAsia" w:ascii="仿宋" w:hAnsi="仿宋" w:eastAsia="仿宋" w:cs="仿宋"/>
          <w:b/>
          <w:bCs/>
          <w:sz w:val="24"/>
          <w:szCs w:val="24"/>
          <w:lang w:eastAsia="zh-CN"/>
        </w:rPr>
        <w:t>11</w:t>
      </w:r>
      <w:r>
        <w:rPr>
          <w:rFonts w:hint="eastAsia" w:ascii="仿宋" w:hAnsi="仿宋" w:eastAsia="仿宋" w:cs="仿宋"/>
          <w:b/>
          <w:bCs/>
          <w:sz w:val="24"/>
          <w:szCs w:val="24"/>
        </w:rPr>
        <w:t>月</w:t>
      </w:r>
      <w:r>
        <w:rPr>
          <w:rFonts w:hint="eastAsia" w:ascii="仿宋" w:hAnsi="仿宋" w:eastAsia="仿宋" w:cs="仿宋"/>
          <w:b/>
          <w:bCs/>
          <w:sz w:val="24"/>
          <w:szCs w:val="24"/>
          <w:lang w:eastAsia="zh-CN"/>
        </w:rPr>
        <w:t>15</w:t>
      </w:r>
      <w:r>
        <w:rPr>
          <w:rFonts w:hint="eastAsia" w:ascii="仿宋" w:hAnsi="仿宋" w:eastAsia="仿宋" w:cs="仿宋"/>
          <w:b/>
          <w:bCs/>
          <w:sz w:val="24"/>
          <w:szCs w:val="24"/>
        </w:rPr>
        <w:t>日。</w:t>
      </w:r>
    </w:p>
    <w:p w14:paraId="63434FB0">
      <w:pPr>
        <w:pStyle w:val="5"/>
        <w:spacing w:line="360" w:lineRule="auto"/>
        <w:ind w:firstLine="240" w:firstLineChars="100"/>
        <w:rPr>
          <w:rFonts w:ascii="仿宋" w:hAnsi="仿宋" w:eastAsia="仿宋" w:cs="仿宋"/>
          <w:sz w:val="24"/>
          <w:szCs w:val="24"/>
          <w:lang w:eastAsia="zh-CN"/>
        </w:rPr>
      </w:pPr>
      <w:r>
        <w:rPr>
          <w:rFonts w:hint="eastAsia" w:ascii="仿宋" w:hAnsi="仿宋" w:eastAsia="仿宋" w:cs="仿宋"/>
          <w:sz w:val="24"/>
          <w:szCs w:val="24"/>
        </w:rPr>
        <w:t>1、广州医科大学附属妇女儿童医疗中心是华南地区规模最大的一所集预防、医疗、保健、科研、教学为一体的公立三级甲等妇女儿童专科医院，也是国家儿童区域医疗中心，要求投标单位能够响应和配合医院的开展有关活动</w:t>
      </w:r>
      <w:r>
        <w:rPr>
          <w:rFonts w:hint="eastAsia" w:ascii="仿宋" w:hAnsi="仿宋" w:eastAsia="仿宋" w:cs="仿宋"/>
          <w:sz w:val="24"/>
          <w:szCs w:val="24"/>
          <w:lang w:eastAsia="zh-CN"/>
        </w:rPr>
        <w:t>。</w:t>
      </w:r>
    </w:p>
    <w:p w14:paraId="59803769">
      <w:pPr>
        <w:pStyle w:val="5"/>
        <w:spacing w:line="360" w:lineRule="auto"/>
        <w:ind w:firstLine="240" w:firstLineChars="100"/>
        <w:rPr>
          <w:rFonts w:ascii="仿宋" w:hAnsi="仿宋" w:eastAsia="仿宋" w:cs="仿宋"/>
          <w:sz w:val="24"/>
          <w:szCs w:val="24"/>
          <w:lang w:eastAsia="zh-CN"/>
        </w:rPr>
      </w:pPr>
      <w:r>
        <w:rPr>
          <w:rFonts w:hint="eastAsia" w:ascii="仿宋" w:hAnsi="仿宋" w:eastAsia="仿宋" w:cs="仿宋"/>
          <w:sz w:val="24"/>
          <w:szCs w:val="24"/>
          <w:lang w:eastAsia="zh-CN"/>
        </w:rPr>
        <w:t>2、本项目属于专门面向中小企业采购的项目。</w:t>
      </w:r>
    </w:p>
    <w:p w14:paraId="5CABABEC">
      <w:pPr>
        <w:pStyle w:val="5"/>
        <w:spacing w:line="360" w:lineRule="auto"/>
        <w:ind w:firstLine="240" w:firstLineChars="100"/>
        <w:rPr>
          <w:rFonts w:ascii="仿宋" w:hAnsi="仿宋" w:eastAsia="仿宋" w:cs="仿宋"/>
          <w:sz w:val="24"/>
          <w:szCs w:val="24"/>
        </w:rPr>
      </w:pPr>
      <w:r>
        <w:rPr>
          <w:rFonts w:hint="eastAsia" w:ascii="仿宋" w:hAnsi="仿宋" w:eastAsia="仿宋" w:cs="仿宋"/>
          <w:sz w:val="24"/>
          <w:szCs w:val="24"/>
          <w:lang w:eastAsia="zh-CN"/>
        </w:rPr>
        <w:t>3、项目属性：服务类</w:t>
      </w:r>
    </w:p>
    <w:p w14:paraId="0E286F09">
      <w:pPr>
        <w:pStyle w:val="5"/>
        <w:tabs>
          <w:tab w:val="left" w:pos="540"/>
        </w:tabs>
        <w:spacing w:before="156" w:beforeLines="50" w:line="360" w:lineRule="auto"/>
        <w:outlineLvl w:val="1"/>
        <w:rPr>
          <w:rFonts w:ascii="仿宋" w:hAnsi="仿宋" w:eastAsia="仿宋" w:cs="仿宋"/>
          <w:b/>
          <w:sz w:val="28"/>
          <w:szCs w:val="28"/>
          <w:lang w:eastAsia="zh-CN"/>
        </w:rPr>
      </w:pPr>
      <w:r>
        <w:rPr>
          <w:rFonts w:hint="eastAsia" w:ascii="仿宋" w:hAnsi="仿宋" w:eastAsia="仿宋" w:cs="仿宋"/>
          <w:b/>
          <w:sz w:val="28"/>
          <w:szCs w:val="28"/>
          <w:lang w:eastAsia="zh-CN"/>
        </w:rPr>
        <w:t>三、电梯设备维护保养服务项目</w:t>
      </w:r>
      <w:bookmarkStart w:id="5" w:name="_GoBack"/>
      <w:bookmarkEnd w:id="5"/>
      <w:r>
        <w:rPr>
          <w:rFonts w:hint="eastAsia" w:ascii="仿宋" w:hAnsi="仿宋" w:eastAsia="仿宋" w:cs="仿宋"/>
          <w:b/>
          <w:sz w:val="28"/>
          <w:szCs w:val="28"/>
          <w:lang w:eastAsia="zh-CN"/>
        </w:rPr>
        <w:t>概况及要求</w:t>
      </w:r>
    </w:p>
    <w:p w14:paraId="727F54EA">
      <w:pPr>
        <w:pStyle w:val="3"/>
        <w:numPr>
          <w:ilvl w:val="0"/>
          <w:numId w:val="2"/>
        </w:numPr>
        <w:spacing w:before="78" w:line="360" w:lineRule="auto"/>
        <w:ind w:left="220"/>
        <w:rPr>
          <w:rFonts w:ascii="仿宋" w:hAnsi="仿宋" w:eastAsia="仿宋" w:cs="仿宋"/>
          <w:kern w:val="2"/>
          <w:lang w:eastAsia="zh-CN"/>
        </w:rPr>
      </w:pPr>
      <w:r>
        <w:rPr>
          <w:rFonts w:hint="eastAsia" w:ascii="仿宋" w:hAnsi="仿宋" w:eastAsia="仿宋" w:cs="仿宋"/>
          <w:kern w:val="2"/>
        </w:rPr>
        <w:t>项目名称：</w:t>
      </w:r>
      <w:r>
        <w:rPr>
          <w:rFonts w:hint="eastAsia" w:ascii="仿宋" w:hAnsi="仿宋" w:eastAsia="仿宋" w:cs="仿宋"/>
          <w:kern w:val="2"/>
          <w:lang w:eastAsia="zh-CN"/>
        </w:rPr>
        <w:t>广州医科大学附属妇女儿童医疗中心五院区</w:t>
      </w:r>
      <w:r>
        <w:rPr>
          <w:rFonts w:hint="eastAsia" w:ascii="仿宋" w:hAnsi="仿宋" w:eastAsia="仿宋" w:cs="仿宋"/>
          <w:kern w:val="2"/>
        </w:rPr>
        <w:t>电梯</w:t>
      </w:r>
      <w:r>
        <w:rPr>
          <w:rFonts w:hint="eastAsia" w:ascii="仿宋" w:hAnsi="仿宋" w:eastAsia="仿宋" w:cs="仿宋"/>
          <w:kern w:val="2"/>
          <w:lang w:eastAsia="zh-CN"/>
        </w:rPr>
        <w:t>维</w:t>
      </w:r>
      <w:r>
        <w:rPr>
          <w:rFonts w:hint="eastAsia" w:ascii="仿宋" w:hAnsi="仿宋" w:eastAsia="仿宋" w:cs="仿宋"/>
          <w:kern w:val="2"/>
        </w:rPr>
        <w:t>保</w:t>
      </w:r>
      <w:r>
        <w:rPr>
          <w:rFonts w:hint="eastAsia" w:ascii="仿宋" w:hAnsi="仿宋" w:eastAsia="仿宋" w:cs="仿宋"/>
          <w:kern w:val="2"/>
          <w:lang w:eastAsia="zh-CN"/>
        </w:rPr>
        <w:t>服务项目</w:t>
      </w:r>
    </w:p>
    <w:p w14:paraId="22F46B18">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w:t>
      </w:r>
      <w:r>
        <w:rPr>
          <w:rFonts w:hint="eastAsia" w:ascii="仿宋" w:hAnsi="仿宋" w:eastAsia="仿宋" w:cs="仿宋"/>
          <w:kern w:val="2"/>
        </w:rPr>
        <w:t>项目地址：</w:t>
      </w:r>
      <w:r>
        <w:rPr>
          <w:rFonts w:hint="eastAsia" w:ascii="仿宋" w:hAnsi="仿宋" w:eastAsia="仿宋" w:cs="仿宋"/>
          <w:kern w:val="2"/>
          <w:lang w:eastAsia="zh-CN"/>
        </w:rPr>
        <w:t>广州市人民中路318、402号；广州市金穗路9号；广州市增城区增城大道293号；广州市白云区新市新达路91-93号暨升大厦</w:t>
      </w:r>
    </w:p>
    <w:p w14:paraId="2625BDC4">
      <w:pPr>
        <w:pStyle w:val="3"/>
        <w:spacing w:before="78" w:line="360" w:lineRule="auto"/>
        <w:ind w:left="220"/>
        <w:rPr>
          <w:rFonts w:ascii="仿宋" w:hAnsi="仿宋" w:eastAsia="仿宋" w:cs="仿宋"/>
          <w:kern w:val="2"/>
          <w:lang w:eastAsia="zh-CN"/>
        </w:rPr>
      </w:pPr>
      <w:r>
        <w:rPr>
          <w:rFonts w:hint="eastAsia" w:ascii="仿宋" w:hAnsi="仿宋" w:eastAsia="仿宋" w:cs="仿宋"/>
          <w:kern w:val="2"/>
          <w:lang w:eastAsia="zh-CN"/>
        </w:rPr>
        <w:t>3、服务时间</w:t>
      </w:r>
      <w:r>
        <w:rPr>
          <w:rFonts w:hint="eastAsia" w:ascii="仿宋" w:hAnsi="仿宋" w:eastAsia="仿宋" w:cs="仿宋"/>
          <w:color w:val="auto"/>
          <w:kern w:val="2"/>
          <w:lang w:eastAsia="zh-CN"/>
        </w:rPr>
        <w:t>:本项目周期为2年，自</w:t>
      </w:r>
      <w:r>
        <w:rPr>
          <w:rFonts w:hint="eastAsia" w:ascii="仿宋" w:hAnsi="仿宋" w:eastAsia="仿宋" w:cs="仿宋"/>
          <w:kern w:val="2"/>
          <w:lang w:eastAsia="zh-CN"/>
        </w:rPr>
        <w:t>合同签署并生效之日起</w:t>
      </w:r>
    </w:p>
    <w:p w14:paraId="0A9E5396">
      <w:pPr>
        <w:spacing w:line="360" w:lineRule="auto"/>
        <w:ind w:firstLine="241" w:firstLineChars="100"/>
        <w:rPr>
          <w:rFonts w:ascii="宋体" w:hAnsi="宋体" w:eastAsia="宋体" w:cs="宋体"/>
          <w:b/>
          <w:bCs/>
          <w:sz w:val="24"/>
          <w:szCs w:val="24"/>
          <w:lang w:eastAsia="zh-CN"/>
        </w:rPr>
      </w:pPr>
      <w:bookmarkStart w:id="2" w:name="bookmark3"/>
      <w:bookmarkEnd w:id="2"/>
    </w:p>
    <w:p w14:paraId="257C937C">
      <w:pPr>
        <w:spacing w:line="360" w:lineRule="auto"/>
        <w:ind w:firstLine="241" w:firstLineChars="100"/>
        <w:rPr>
          <w:rFonts w:ascii="宋体" w:hAnsi="宋体" w:eastAsia="宋体" w:cs="宋体"/>
          <w:b/>
          <w:bCs/>
          <w:sz w:val="24"/>
          <w:szCs w:val="24"/>
          <w:lang w:eastAsia="zh-CN"/>
        </w:rPr>
      </w:pPr>
      <w:r>
        <w:rPr>
          <w:rFonts w:hint="eastAsia" w:ascii="宋体" w:hAnsi="宋体" w:eastAsia="宋体" w:cs="宋体"/>
          <w:b/>
          <w:bCs/>
          <w:sz w:val="24"/>
          <w:szCs w:val="24"/>
          <w:lang w:eastAsia="zh-CN"/>
        </w:rPr>
        <w:t>附：五院区电梯明细表</w:t>
      </w:r>
    </w:p>
    <w:tbl>
      <w:tblPr>
        <w:tblStyle w:val="8"/>
        <w:tblpPr w:leftFromText="180" w:rightFromText="180" w:vertAnchor="text" w:horzAnchor="page" w:tblpX="910" w:tblpY="474"/>
        <w:tblOverlap w:val="never"/>
        <w:tblW w:w="10290" w:type="dxa"/>
        <w:tblInd w:w="0" w:type="dxa"/>
        <w:tblLayout w:type="autofit"/>
        <w:tblCellMar>
          <w:top w:w="0" w:type="dxa"/>
          <w:left w:w="108" w:type="dxa"/>
          <w:bottom w:w="0" w:type="dxa"/>
          <w:right w:w="108" w:type="dxa"/>
        </w:tblCellMar>
      </w:tblPr>
      <w:tblGrid>
        <w:gridCol w:w="537"/>
        <w:gridCol w:w="840"/>
        <w:gridCol w:w="794"/>
        <w:gridCol w:w="1536"/>
        <w:gridCol w:w="3094"/>
        <w:gridCol w:w="2256"/>
        <w:gridCol w:w="1233"/>
      </w:tblGrid>
      <w:tr w14:paraId="1496036F">
        <w:tblPrEx>
          <w:tblCellMar>
            <w:top w:w="0" w:type="dxa"/>
            <w:left w:w="108" w:type="dxa"/>
            <w:bottom w:w="0" w:type="dxa"/>
            <w:right w:w="108" w:type="dxa"/>
          </w:tblCellMar>
        </w:tblPrEx>
        <w:trPr>
          <w:trHeight w:val="9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0545">
            <w:pPr>
              <w:jc w:val="center"/>
              <w:textAlignment w:val="center"/>
              <w:rPr>
                <w:rFonts w:ascii="仿宋" w:hAnsi="仿宋" w:eastAsia="仿宋" w:cs="仿宋"/>
                <w:sz w:val="24"/>
                <w:szCs w:val="24"/>
              </w:rPr>
            </w:pPr>
            <w:bookmarkStart w:id="3" w:name="bookmark4"/>
            <w:bookmarkEnd w:id="3"/>
            <w:r>
              <w:rPr>
                <w:rFonts w:hint="eastAsia" w:ascii="仿宋" w:hAnsi="仿宋" w:eastAsia="仿宋" w:cs="仿宋"/>
                <w:sz w:val="24"/>
                <w:szCs w:val="24"/>
                <w:lang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9A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院区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83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品牌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0B0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生产工号</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A89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注册编号</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73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型号规格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049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层/站/门</w:t>
            </w:r>
          </w:p>
        </w:tc>
      </w:tr>
      <w:tr w14:paraId="6269F29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E737">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AB55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珠</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江</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新</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城</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21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0B4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46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3D5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62D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14:paraId="751AFDEF">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5CF8">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A3F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9D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619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924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4D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5B6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14:paraId="251B4D6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0162">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0C2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4C6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13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6AD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162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836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14:paraId="2CBBD260">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12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8F96">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DD1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2A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8F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19E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A3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14:paraId="143234D6">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0F30">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D3F0">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2D8">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762">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06G508723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58F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31704401062009025006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5872">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NPX-B1600-C0105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41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16/16/16</w:t>
            </w:r>
          </w:p>
        </w:tc>
      </w:tr>
      <w:tr w14:paraId="061A8E02">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743E">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21D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07A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AF8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3BF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ED1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C6B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14:paraId="184A15AD">
        <w:tblPrEx>
          <w:tblCellMar>
            <w:top w:w="0" w:type="dxa"/>
            <w:left w:w="108" w:type="dxa"/>
            <w:bottom w:w="0" w:type="dxa"/>
            <w:right w:w="108" w:type="dxa"/>
          </w:tblCellMar>
        </w:tblPrEx>
        <w:trPr>
          <w:trHeight w:val="75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89F4">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8F0A">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F31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D5F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9B6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DC2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B2F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14:paraId="1FCF60ED">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C68">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DBE8">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56B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940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C1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BA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D1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14:paraId="08820FD2">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E378">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2E93">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28F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770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9E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B2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NPX-1000-C105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16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14:paraId="4E898AF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150">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4616">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FBD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8C0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06G508719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B28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166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94A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14:paraId="79E75F4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95CC">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7050">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B24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013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0CD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450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UAX-1600-2S90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B82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05/5/5</w:t>
            </w:r>
          </w:p>
        </w:tc>
      </w:tr>
      <w:tr w14:paraId="4EA91726">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BBE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562F">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A73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5F9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9E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D66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NPX-B1600-CO90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01E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05/5/5</w:t>
            </w:r>
          </w:p>
        </w:tc>
      </w:tr>
      <w:tr w14:paraId="51A8812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BCE7">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615F">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E8F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D4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FDA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D0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FD9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05/5/5</w:t>
            </w:r>
          </w:p>
        </w:tc>
      </w:tr>
      <w:tr w14:paraId="0D3DF38D">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AEB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CE4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C75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9C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CC2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3170440106200 9025003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E57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 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7BF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06/6/6</w:t>
            </w:r>
          </w:p>
        </w:tc>
      </w:tr>
      <w:tr w14:paraId="76BA31D2">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A27">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F153">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3FF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BFC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C4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3170440106200 9025013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3B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 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1B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06/6/6</w:t>
            </w:r>
          </w:p>
        </w:tc>
      </w:tr>
      <w:tr w14:paraId="1C1E9229">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5ECE">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BDE0">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A8A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463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06G508728</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AA9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31704401062009025012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B38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NPX-1000-C 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65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06/4/4</w:t>
            </w:r>
          </w:p>
        </w:tc>
      </w:tr>
      <w:tr w14:paraId="1310597A">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200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B86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0A9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C36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06G508729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7C3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31704401062009025002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704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UAX-1000-C 060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5B3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14:paraId="1C921C25">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622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CAD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08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B02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E22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702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7DA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705969A9">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660">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91F6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5C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389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435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057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F4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4EBFF2E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9A1">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2786">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CDB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1A3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222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E5E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3B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1751ECE7">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648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6394A">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3D8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BC1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06G508735</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A46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111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70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7C7FD1A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00E4">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2A15">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FB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793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A44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E39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D34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5FD209F5">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8FC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0511">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9DE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051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06G508737</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58D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35004401062009025008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45C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1200EX-EN</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B6D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46A1A374">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6EE">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839C">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381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344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22212833001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5AC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31304401062022110039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851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ESW1050-C01.0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FA4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4/4</w:t>
            </w:r>
          </w:p>
        </w:tc>
      </w:tr>
      <w:tr w14:paraId="3661F87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838A">
            <w:pPr>
              <w:numPr>
                <w:ilvl w:val="0"/>
                <w:numId w:val="3"/>
              </w:numPr>
              <w:jc w:val="center"/>
              <w:textAlignment w:val="center"/>
              <w:rPr>
                <w:rFonts w:ascii="仿宋" w:hAnsi="仿宋" w:eastAsia="仿宋" w:cs="仿宋"/>
                <w:sz w:val="24"/>
                <w:szCs w:val="24"/>
                <w:lang w:eastAsia="zh-CN" w:bidi="ar"/>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295A21A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1C5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菱安</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4F77">
            <w:pPr>
              <w:jc w:val="center"/>
              <w:textAlignment w:val="center"/>
              <w:rPr>
                <w:rFonts w:ascii="仿宋" w:hAnsi="仿宋" w:eastAsia="仿宋" w:cs="仿宋"/>
                <w:sz w:val="24"/>
                <w:szCs w:val="24"/>
                <w:lang w:eastAsia="zh-CN" w:bidi="ar"/>
              </w:rPr>
            </w:pP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EE7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34004401062021070004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41B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杂物梯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F40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6/3/3</w:t>
            </w:r>
          </w:p>
        </w:tc>
      </w:tr>
      <w:tr w14:paraId="143BE9F2">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E9B4">
            <w:pPr>
              <w:numPr>
                <w:ilvl w:val="0"/>
                <w:numId w:val="3"/>
              </w:numPr>
              <w:jc w:val="center"/>
              <w:textAlignment w:val="center"/>
              <w:rPr>
                <w:rFonts w:ascii="仿宋" w:hAnsi="仿宋" w:eastAsia="仿宋" w:cs="仿宋"/>
                <w:sz w:val="24"/>
                <w:szCs w:val="24"/>
                <w:lang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0DBA430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F530">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威得利</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D7DC">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梯粤A500017604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78A7">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34004401062009075005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01A">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杂物梯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F13D">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4/4/4</w:t>
            </w:r>
          </w:p>
        </w:tc>
      </w:tr>
      <w:tr w14:paraId="24FE834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EAF8">
            <w:pPr>
              <w:numPr>
                <w:ilvl w:val="0"/>
                <w:numId w:val="3"/>
              </w:numPr>
              <w:jc w:val="center"/>
              <w:textAlignment w:val="center"/>
              <w:rPr>
                <w:rFonts w:ascii="仿宋" w:hAnsi="仿宋" w:eastAsia="仿宋" w:cs="仿宋"/>
                <w:sz w:val="24"/>
                <w:szCs w:val="24"/>
                <w:lang w:eastAsia="zh-CN" w:bidi="ar"/>
              </w:rPr>
            </w:pPr>
          </w:p>
        </w:tc>
        <w:tc>
          <w:tcPr>
            <w:tcW w:w="840" w:type="dxa"/>
            <w:vMerge w:val="restart"/>
            <w:tcBorders>
              <w:top w:val="single" w:color="000000" w:sz="4" w:space="0"/>
              <w:left w:val="single" w:color="000000" w:sz="4" w:space="0"/>
              <w:right w:val="single" w:color="000000" w:sz="4" w:space="0"/>
            </w:tcBorders>
            <w:shd w:val="clear" w:color="auto" w:fill="auto"/>
            <w:vAlign w:val="center"/>
          </w:tcPr>
          <w:p w14:paraId="2737A4B5">
            <w:pPr>
              <w:jc w:val="center"/>
              <w:rPr>
                <w:rFonts w:ascii="仿宋" w:hAnsi="仿宋" w:eastAsia="仿宋" w:cs="仿宋"/>
                <w:sz w:val="24"/>
                <w:szCs w:val="24"/>
                <w:lang w:eastAsia="zh-CN"/>
              </w:rPr>
            </w:pPr>
            <w:r>
              <w:rPr>
                <w:rFonts w:hint="eastAsia" w:ascii="仿宋" w:hAnsi="仿宋" w:eastAsia="仿宋" w:cs="仿宋"/>
                <w:sz w:val="24"/>
                <w:szCs w:val="24"/>
                <w:lang w:eastAsia="zh-CN"/>
              </w:rPr>
              <w:t>白云院区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DF52">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22F">
            <w:pPr>
              <w:jc w:val="both"/>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梯粤A010213106</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4BF">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31104401001999070092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DAD">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GVF</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BF3A">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9/9/9</w:t>
            </w:r>
          </w:p>
        </w:tc>
      </w:tr>
      <w:tr w14:paraId="141AC7C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8A8E">
            <w:pPr>
              <w:numPr>
                <w:ilvl w:val="0"/>
                <w:numId w:val="3"/>
              </w:numPr>
              <w:jc w:val="center"/>
              <w:textAlignment w:val="center"/>
              <w:rPr>
                <w:rFonts w:ascii="仿宋" w:hAnsi="仿宋" w:eastAsia="仿宋" w:cs="仿宋"/>
                <w:sz w:val="24"/>
                <w:szCs w:val="24"/>
                <w:lang w:eastAsia="zh-CN" w:bidi="ar"/>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14:paraId="72404FEA">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476E">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3689">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梯粤A010217212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6C6">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31104401112006080002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E1E5">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NPH</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C8E3">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8/6/6</w:t>
            </w:r>
          </w:p>
        </w:tc>
      </w:tr>
      <w:tr w14:paraId="6357A9BF">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20E">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D0DF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儿</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童</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CE2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0E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22212735001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2DE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31704401042022120001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A8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C.Wiz-B1600-C01.5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D89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12/12</w:t>
            </w:r>
          </w:p>
        </w:tc>
      </w:tr>
      <w:tr w14:paraId="6359441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FBA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E3D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F2E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54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16G013550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1AA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3170-440104-201609-0001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8F4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BE0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12/12</w:t>
            </w:r>
          </w:p>
        </w:tc>
      </w:tr>
      <w:tr w14:paraId="043EDAD5">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51C6">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BEC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661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40F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99电1879</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CB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3170-440100-200002-0005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A43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GVFB100-2S60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EF8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w:t>
            </w:r>
          </w:p>
        </w:tc>
      </w:tr>
      <w:tr w14:paraId="5EC4F000">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FAD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F831">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1E5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82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99电1880</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8BD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3170-440100-200002-0004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E1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GVFB1000-2S60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62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w:t>
            </w:r>
          </w:p>
        </w:tc>
      </w:tr>
      <w:tr w14:paraId="5FD88350">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2CB8">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FFF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44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广日</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E12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18G049161</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ECC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3170-440104-201901-0001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AC8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5F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12/12</w:t>
            </w:r>
          </w:p>
        </w:tc>
      </w:tr>
      <w:tr w14:paraId="1B68924E">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7B36">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B6293">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E7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B09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02电0122</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5E1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3110-440100-200206-0049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FFF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GVF-1000-2S60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695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w:t>
            </w:r>
          </w:p>
        </w:tc>
      </w:tr>
      <w:tr w14:paraId="49B80EFA">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5EB8">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0A40">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E5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89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02电0124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67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3110-440100-200201-0225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79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GVF-1000-C60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4D2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4/4</w:t>
            </w:r>
          </w:p>
        </w:tc>
      </w:tr>
      <w:tr w14:paraId="27B8EE1E">
        <w:tblPrEx>
          <w:tblCellMar>
            <w:top w:w="0" w:type="dxa"/>
            <w:left w:w="108" w:type="dxa"/>
            <w:bottom w:w="0" w:type="dxa"/>
            <w:right w:w="108" w:type="dxa"/>
          </w:tblCellMar>
        </w:tblPrEx>
        <w:trPr>
          <w:trHeight w:val="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DF1">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7AF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FE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DA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02电0123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6EA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3110-440100-200204-0004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786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GVF-800-CO60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430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4/4</w:t>
            </w:r>
          </w:p>
        </w:tc>
      </w:tr>
      <w:tr w14:paraId="135B6E78">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5C21">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DC4A">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88F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nil"/>
              <w:left w:val="nil"/>
              <w:bottom w:val="nil"/>
              <w:right w:val="nil"/>
            </w:tcBorders>
            <w:shd w:val="clear" w:color="auto" w:fill="auto"/>
            <w:noWrap/>
            <w:vAlign w:val="center"/>
          </w:tcPr>
          <w:p w14:paraId="09778FB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30009387</w:t>
            </w:r>
          </w:p>
        </w:tc>
        <w:tc>
          <w:tcPr>
            <w:tcW w:w="0" w:type="auto"/>
            <w:tcBorders>
              <w:top w:val="nil"/>
              <w:left w:val="nil"/>
              <w:bottom w:val="nil"/>
              <w:right w:val="nil"/>
            </w:tcBorders>
            <w:shd w:val="clear" w:color="auto" w:fill="auto"/>
            <w:noWrap/>
            <w:vAlign w:val="center"/>
          </w:tcPr>
          <w:p w14:paraId="24CDD8D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3130-440100-200112-0072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B7E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521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2A839378">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A57">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B72A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妇</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婴</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D6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3FE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17G079053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BEF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3170-440104-201804-0001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915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MCA-B1600-CO90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3E5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w:t>
            </w:r>
          </w:p>
        </w:tc>
      </w:tr>
      <w:tr w14:paraId="7AC6065B">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E5F5">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ECB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ED8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908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17G079054</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9A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3170-440104-201808-0001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5F2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AB9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w:t>
            </w:r>
          </w:p>
        </w:tc>
      </w:tr>
      <w:tr w14:paraId="17FC9BC7">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06F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C59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7FD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日立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43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14G009753</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439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3170-440104-201408-0001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46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MCA-B1600-C090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3C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w:t>
            </w:r>
          </w:p>
        </w:tc>
      </w:tr>
      <w:tr w14:paraId="222D5ACF">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4C29">
            <w:pPr>
              <w:numPr>
                <w:ilvl w:val="0"/>
                <w:numId w:val="3"/>
              </w:numPr>
              <w:jc w:val="center"/>
              <w:textAlignment w:val="center"/>
              <w:rPr>
                <w:rFonts w:ascii="仿宋" w:hAnsi="仿宋" w:eastAsia="仿宋" w:cs="仿宋"/>
                <w:sz w:val="24"/>
                <w:szCs w:val="24"/>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1ACF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增</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城</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院</w:t>
            </w:r>
            <w:r>
              <w:rPr>
                <w:rFonts w:hint="eastAsia" w:ascii="仿宋" w:hAnsi="仿宋" w:eastAsia="仿宋" w:cs="仿宋"/>
                <w:sz w:val="24"/>
                <w:szCs w:val="24"/>
                <w:lang w:eastAsia="zh-CN" w:bidi="ar"/>
              </w:rPr>
              <w:br w:type="textWrapping"/>
            </w:r>
            <w:r>
              <w:rPr>
                <w:rFonts w:hint="eastAsia" w:ascii="仿宋" w:hAnsi="仿宋" w:eastAsia="仿宋" w:cs="仿宋"/>
                <w:sz w:val="24"/>
                <w:szCs w:val="24"/>
                <w:lang w:eastAsia="zh-CN" w:bidi="ar"/>
              </w:rPr>
              <w:t>区</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B42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ED2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42D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AE4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54C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.7/6/6</w:t>
            </w:r>
          </w:p>
        </w:tc>
      </w:tr>
      <w:tr w14:paraId="0E8BC484">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1D4C">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8D88">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0F9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6C5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597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1E3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CAC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30FADBC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065">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02A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4D4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BDF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EF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563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787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224D089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D9D0">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C0F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7A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0A1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87D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D40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71B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327B2AC6">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9C2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3724">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3F3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8D6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048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406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7EF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7BF3441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579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1A68">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97D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3BC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A38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A2F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451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2C519CF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A19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18F8">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758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7CB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265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4A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10F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5CE0950F">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9CE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5849">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160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0B4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710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6DB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39C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28FCD7D0">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D69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310A">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D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EAE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0F6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BD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A6B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.7/6/6</w:t>
            </w:r>
          </w:p>
        </w:tc>
      </w:tr>
      <w:tr w14:paraId="7DD4901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B400">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ADC7">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0F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E17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A45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3130-440183-202012-0021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EAB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F2D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4A223FA8">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321">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327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12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F09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1A6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B19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BEF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.9/9/9</w:t>
            </w:r>
          </w:p>
        </w:tc>
      </w:tr>
      <w:tr w14:paraId="29465B7B">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C839">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2ECC">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115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B4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889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2D7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56E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.8/7/7</w:t>
            </w:r>
          </w:p>
        </w:tc>
      </w:tr>
      <w:tr w14:paraId="49CA8EF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B1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067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DD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B19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430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683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917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49030075">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3E59">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CA0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279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FC1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9D4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A9F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8A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.9/9/9</w:t>
            </w:r>
          </w:p>
        </w:tc>
      </w:tr>
      <w:tr w14:paraId="2900FCD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E08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13F7">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045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1E0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575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0A6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596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74158B80">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8C5">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63F1">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00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10A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8AB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631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9C4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.7/6/6</w:t>
            </w:r>
          </w:p>
        </w:tc>
      </w:tr>
      <w:tr w14:paraId="1140C3A7">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F8E4">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3873">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BA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DF4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F28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D5D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6B0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14:paraId="6A01296B">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0A6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8B00F">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EB6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92E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4D2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95E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D7E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14:paraId="28A16FE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BA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F0D0">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C42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529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94C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F8E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8EA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14:paraId="3BE06D8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93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6529">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80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62A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C80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3150-440183-202012-0001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540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6B6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.6/6/6</w:t>
            </w:r>
          </w:p>
        </w:tc>
      </w:tr>
      <w:tr w14:paraId="7EE9FEEE">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75B4">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1134">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743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054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3F7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4C2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C00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14825199">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13">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7711">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36D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378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ADF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9BD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553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3DB80CB8">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3E1E">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707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D2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5D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742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392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3EC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3403A10A">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AF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C0F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2B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51B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E00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110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CBA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14:paraId="75D3DA6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17E2">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31DA9">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5E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B8E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F14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A0A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D1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14:paraId="7F2245B5">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CFD2">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9DC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4E7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7AF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9FE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B29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038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15/15/15</w:t>
            </w:r>
          </w:p>
        </w:tc>
      </w:tr>
      <w:tr w14:paraId="28C7F5F4">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547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6093">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272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0F6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4B1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FE4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BE3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035064C8">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AF26">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E469">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1F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AE4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196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D3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5D3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7D84527C">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2F49">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277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7D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1E2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477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3110-440183-202209-0020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0C2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C25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19/19/19</w:t>
            </w:r>
          </w:p>
        </w:tc>
      </w:tr>
      <w:tr w14:paraId="543337FA">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745F">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1C5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4DB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E31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239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C26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BD3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5A7E36D9">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642">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1415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13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13F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F1D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186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2F9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55C86BEE">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361">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BD71">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0B4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03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D6F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E96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209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69C58BA6">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8A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A629">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591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57F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C7A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5D1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89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16/16/18</w:t>
            </w:r>
          </w:p>
        </w:tc>
      </w:tr>
      <w:tr w14:paraId="18FEE7BA">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E0BF">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A3DC">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D8F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B2E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18A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A16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FC0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177AD879">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F5D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728F7">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D4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CA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A00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29A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F50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57A9A707">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1FA9">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FCA4">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991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304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6C1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8AD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2D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18/18/18</w:t>
            </w:r>
          </w:p>
        </w:tc>
      </w:tr>
      <w:tr w14:paraId="6A3FBF5B">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2A72">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03A1">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0C7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1C6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2A5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3130-440183-202008-0046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CD9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KDL16L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2DD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w:t>
            </w:r>
          </w:p>
        </w:tc>
      </w:tr>
      <w:tr w14:paraId="0D363BE1">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DAA9">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8F1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87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E53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1137199594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7D6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3110-440183-202204-0025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B54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B9C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.8/8/8</w:t>
            </w:r>
          </w:p>
        </w:tc>
      </w:tr>
      <w:tr w14:paraId="71BBECB4">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76A8">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8D93">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2AB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020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1137195782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03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3130-440183-202204-0025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A6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020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.2/2/2</w:t>
            </w:r>
          </w:p>
        </w:tc>
      </w:tr>
      <w:tr w14:paraId="44A2D077">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5108">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349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CC3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5F1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1137199595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6B2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3110-440183-202204-0026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FC7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6A0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.5/5/5</w:t>
            </w:r>
          </w:p>
        </w:tc>
      </w:tr>
      <w:tr w14:paraId="6468A9EF">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99E9">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EFE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A4C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7C7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1137199596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38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3130-440183-202204-0026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229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5B8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.5/5/5</w:t>
            </w:r>
          </w:p>
        </w:tc>
      </w:tr>
      <w:tr w14:paraId="5B46DDB8">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F5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C3B6">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20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4BE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22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123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ACB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14:paraId="7AA3236E">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C2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A9318">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53A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9CD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137008525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425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CD4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8CF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16/16/16</w:t>
            </w:r>
          </w:p>
        </w:tc>
      </w:tr>
      <w:tr w14:paraId="130A10D6">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3BA6">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24D0">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F6B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EE4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5C9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A60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25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13/13/13</w:t>
            </w:r>
          </w:p>
        </w:tc>
      </w:tr>
      <w:tr w14:paraId="2DA96D89">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11B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D452">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499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A8A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1137008527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C74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3110-440183-202008-0091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E6F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KDL  KDM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C38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13/13/13</w:t>
            </w:r>
          </w:p>
        </w:tc>
      </w:tr>
      <w:tr w14:paraId="16BBB4A7">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A4B7">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491A">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DAC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101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EC7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0C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A74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74B52F8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80D2">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7F59">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F0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288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8B3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6CB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3F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13C276DF">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05B7">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2E2C">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E40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867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204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C13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15E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1D8EA84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B334">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0615">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49B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8F3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88C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3E0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7C9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33E110A0">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D626">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3DA9">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27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054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AF6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457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811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0338E196">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C14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9C793">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FC0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7BD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FD7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0FA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DB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63AE52E3">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156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A30B">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B7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940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328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D199">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7D6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339F7936">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9861">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A6FE">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AAD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5DC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291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35D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D58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7B8E00FE">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201">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1D4C">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358">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625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FA1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351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EBF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36F39744">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0AD6">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D618">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017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801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C4F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162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6636">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491748CA">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CA2">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EA7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CFAD">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DE8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9774">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D95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B8CF">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07EDA9AE">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4AAE">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B8ED">
            <w:pPr>
              <w:jc w:val="center"/>
              <w:rPr>
                <w:rFonts w:ascii="仿宋" w:hAnsi="仿宋" w:eastAsia="仿宋" w:cs="仿宋"/>
                <w:sz w:val="24"/>
                <w:szCs w:val="24"/>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495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通力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4E5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1156149942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597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3500-440183-202202-0012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C74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FB6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w:t>
            </w:r>
          </w:p>
        </w:tc>
      </w:tr>
      <w:tr w14:paraId="6152C7AF">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FCA">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73A3">
            <w:pPr>
              <w:jc w:val="center"/>
              <w:rPr>
                <w:rFonts w:ascii="仿宋" w:hAnsi="仿宋" w:eastAsia="仿宋" w:cs="仿宋"/>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2C90">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奥凌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AD2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2010022Z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82BA">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3400-440183-202012-0001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CB0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0L-TWJ</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CC0C">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14:paraId="5B145494">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AE6D">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40D4">
            <w:pPr>
              <w:jc w:val="center"/>
              <w:rPr>
                <w:rFonts w:ascii="仿宋" w:hAnsi="仿宋" w:eastAsia="仿宋" w:cs="仿宋"/>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67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奥凌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A5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2010021Z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5D87">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3400-440183-202012-0002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6C6B">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0L-TWJ</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40A5">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14:paraId="367621FE">
        <w:tblPrEx>
          <w:tblCellMar>
            <w:top w:w="0" w:type="dxa"/>
            <w:left w:w="108" w:type="dxa"/>
            <w:bottom w:w="0" w:type="dxa"/>
            <w:right w:w="108" w:type="dxa"/>
          </w:tblCellMar>
        </w:tblPrEx>
        <w:trPr>
          <w:trHeight w:val="4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8C0B">
            <w:pPr>
              <w:numPr>
                <w:ilvl w:val="0"/>
                <w:numId w:val="3"/>
              </w:numPr>
              <w:jc w:val="center"/>
              <w:textAlignment w:val="center"/>
              <w:rPr>
                <w:rFonts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0F73">
            <w:pPr>
              <w:jc w:val="center"/>
              <w:rPr>
                <w:rFonts w:ascii="仿宋" w:hAnsi="仿宋" w:eastAsia="仿宋" w:cs="仿宋"/>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503">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D3C2">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V62189TY98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5FD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液压梯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4AB1">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SKYB1600/0.5-JXW</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C7E">
            <w:pPr>
              <w:jc w:val="center"/>
              <w:textAlignment w:val="center"/>
              <w:rPr>
                <w:rFonts w:ascii="仿宋" w:hAnsi="仿宋" w:eastAsia="仿宋" w:cs="仿宋"/>
                <w:sz w:val="24"/>
                <w:szCs w:val="24"/>
              </w:rPr>
            </w:pPr>
            <w:r>
              <w:rPr>
                <w:rFonts w:hint="eastAsia" w:ascii="仿宋" w:hAnsi="仿宋" w:eastAsia="仿宋" w:cs="仿宋"/>
                <w:sz w:val="24"/>
                <w:szCs w:val="24"/>
                <w:lang w:eastAsia="zh-CN" w:bidi="ar"/>
              </w:rPr>
              <w:t>02/2/2</w:t>
            </w:r>
          </w:p>
        </w:tc>
      </w:tr>
      <w:tr w14:paraId="67A33395">
        <w:tblPrEx>
          <w:tblCellMar>
            <w:top w:w="0" w:type="dxa"/>
            <w:left w:w="108" w:type="dxa"/>
            <w:bottom w:w="0" w:type="dxa"/>
            <w:right w:w="108" w:type="dxa"/>
          </w:tblCellMar>
        </w:tblPrEx>
        <w:trPr>
          <w:trHeight w:val="400" w:hRule="atLeast"/>
        </w:trPr>
        <w:tc>
          <w:tcPr>
            <w:tcW w:w="10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4610AB">
            <w:pPr>
              <w:jc w:val="center"/>
              <w:textAlignment w:val="center"/>
              <w:rPr>
                <w:rFonts w:ascii="仿宋" w:hAnsi="仿宋" w:eastAsia="仿宋" w:cs="仿宋"/>
                <w:sz w:val="24"/>
                <w:szCs w:val="24"/>
                <w:lang w:eastAsia="zh-CN" w:bidi="ar"/>
              </w:rPr>
            </w:pPr>
            <w:r>
              <w:rPr>
                <w:rFonts w:hint="eastAsia" w:ascii="仿宋" w:hAnsi="仿宋" w:eastAsia="仿宋" w:cs="仿宋"/>
                <w:sz w:val="24"/>
                <w:szCs w:val="24"/>
                <w:lang w:eastAsia="zh-CN" w:bidi="ar"/>
              </w:rPr>
              <w:t>合计100台电梯</w:t>
            </w:r>
          </w:p>
        </w:tc>
      </w:tr>
    </w:tbl>
    <w:p w14:paraId="116E6D84">
      <w:pPr>
        <w:pStyle w:val="5"/>
        <w:tabs>
          <w:tab w:val="left" w:pos="540"/>
        </w:tabs>
        <w:spacing w:before="156" w:beforeLines="50" w:line="360" w:lineRule="auto"/>
        <w:outlineLvl w:val="1"/>
        <w:rPr>
          <w:rFonts w:ascii="仿宋" w:hAnsi="仿宋" w:eastAsia="仿宋" w:cs="仿宋"/>
          <w:b/>
          <w:sz w:val="28"/>
          <w:szCs w:val="28"/>
          <w:lang w:eastAsia="zh-CN"/>
        </w:rPr>
      </w:pPr>
      <w:r>
        <w:rPr>
          <w:rFonts w:hint="eastAsia" w:ascii="仿宋" w:hAnsi="仿宋" w:eastAsia="仿宋" w:cs="仿宋"/>
          <w:b/>
          <w:sz w:val="28"/>
          <w:szCs w:val="28"/>
          <w:lang w:eastAsia="zh-CN"/>
        </w:rPr>
        <w:t>四、服务内容</w:t>
      </w:r>
    </w:p>
    <w:p w14:paraId="581028B0">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1、电/扶梯定期维护保养项目内容及要求如下：</w:t>
      </w:r>
    </w:p>
    <w:p w14:paraId="6F2C4B9E">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表A-1  半月维保项目（内容）和要求</w:t>
      </w:r>
    </w:p>
    <w:tbl>
      <w:tblPr>
        <w:tblStyle w:val="8"/>
        <w:tblpPr w:leftFromText="180" w:rightFromText="180" w:vertAnchor="text" w:horzAnchor="page" w:tblpXSpec="center" w:tblpY="390"/>
        <w:tblOverlap w:val="never"/>
        <w:tblW w:w="93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391"/>
        <w:gridCol w:w="5245"/>
      </w:tblGrid>
      <w:tr w14:paraId="512F3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520D9875">
            <w:pPr>
              <w:spacing w:line="360"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391" w:type="dxa"/>
            <w:vAlign w:val="center"/>
          </w:tcPr>
          <w:p w14:paraId="7A89AA0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45" w:type="dxa"/>
            <w:noWrap/>
            <w:vAlign w:val="center"/>
          </w:tcPr>
          <w:p w14:paraId="0D380B3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155F2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259BF10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391" w:type="dxa"/>
            <w:vAlign w:val="center"/>
          </w:tcPr>
          <w:p w14:paraId="7D1B8D6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机房、滑轮间环境</w:t>
            </w:r>
          </w:p>
        </w:tc>
        <w:tc>
          <w:tcPr>
            <w:tcW w:w="5245" w:type="dxa"/>
            <w:noWrap/>
            <w:vAlign w:val="center"/>
          </w:tcPr>
          <w:p w14:paraId="219D242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清洁，门窗完好、照明正常 </w:t>
            </w:r>
          </w:p>
        </w:tc>
      </w:tr>
      <w:tr w14:paraId="294FF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76F9CFE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391" w:type="dxa"/>
            <w:vAlign w:val="center"/>
          </w:tcPr>
          <w:p w14:paraId="0B97B54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手动紧急操作装置</w:t>
            </w:r>
          </w:p>
        </w:tc>
        <w:tc>
          <w:tcPr>
            <w:tcW w:w="5245" w:type="dxa"/>
            <w:noWrap/>
            <w:vAlign w:val="center"/>
          </w:tcPr>
          <w:p w14:paraId="1D74FDE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齐全，在指定位置</w:t>
            </w:r>
          </w:p>
        </w:tc>
      </w:tr>
      <w:tr w14:paraId="060EB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2950B43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391" w:type="dxa"/>
            <w:vAlign w:val="center"/>
          </w:tcPr>
          <w:p w14:paraId="64FACB9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曳引机</w:t>
            </w:r>
          </w:p>
        </w:tc>
        <w:tc>
          <w:tcPr>
            <w:tcW w:w="5245" w:type="dxa"/>
            <w:noWrap/>
            <w:vAlign w:val="center"/>
          </w:tcPr>
          <w:p w14:paraId="21C31D8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运行时无异常振动和异常声响</w:t>
            </w:r>
          </w:p>
        </w:tc>
      </w:tr>
      <w:tr w14:paraId="6B724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4031D4D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391" w:type="dxa"/>
            <w:vAlign w:val="center"/>
          </w:tcPr>
          <w:p w14:paraId="319DDB1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制动器各销轴部位</w:t>
            </w:r>
          </w:p>
        </w:tc>
        <w:tc>
          <w:tcPr>
            <w:tcW w:w="5245" w:type="dxa"/>
            <w:noWrap/>
            <w:vAlign w:val="center"/>
          </w:tcPr>
          <w:p w14:paraId="5542BC6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润滑，动作灵活</w:t>
            </w:r>
          </w:p>
        </w:tc>
      </w:tr>
      <w:tr w14:paraId="51BBE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45F1EE6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391" w:type="dxa"/>
            <w:vAlign w:val="center"/>
          </w:tcPr>
          <w:p w14:paraId="0A641ED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制动器间隙</w:t>
            </w:r>
          </w:p>
        </w:tc>
        <w:tc>
          <w:tcPr>
            <w:tcW w:w="5245" w:type="dxa"/>
            <w:noWrap/>
            <w:vAlign w:val="center"/>
          </w:tcPr>
          <w:p w14:paraId="4CDB609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打开时制动衬与制动轮不应发生摩擦</w:t>
            </w:r>
          </w:p>
        </w:tc>
      </w:tr>
      <w:tr w14:paraId="7E634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3708EAE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391" w:type="dxa"/>
            <w:vAlign w:val="center"/>
          </w:tcPr>
          <w:p w14:paraId="424E2E7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编码器</w:t>
            </w:r>
          </w:p>
        </w:tc>
        <w:tc>
          <w:tcPr>
            <w:tcW w:w="5245" w:type="dxa"/>
            <w:noWrap/>
            <w:vAlign w:val="center"/>
          </w:tcPr>
          <w:p w14:paraId="707F592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清洁，安装牢固</w:t>
            </w:r>
          </w:p>
        </w:tc>
      </w:tr>
      <w:tr w14:paraId="5875C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4445811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391" w:type="dxa"/>
            <w:vAlign w:val="center"/>
          </w:tcPr>
          <w:p w14:paraId="7D820D0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限速器各销轴部位</w:t>
            </w:r>
          </w:p>
        </w:tc>
        <w:tc>
          <w:tcPr>
            <w:tcW w:w="5245" w:type="dxa"/>
            <w:noWrap/>
            <w:vAlign w:val="center"/>
          </w:tcPr>
          <w:p w14:paraId="7EDA967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润滑，转动灵活；电气开关正常</w:t>
            </w:r>
          </w:p>
        </w:tc>
      </w:tr>
      <w:tr w14:paraId="45ED0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292D6DD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391" w:type="dxa"/>
            <w:vAlign w:val="center"/>
          </w:tcPr>
          <w:p w14:paraId="5813172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轿顶</w:t>
            </w:r>
          </w:p>
        </w:tc>
        <w:tc>
          <w:tcPr>
            <w:tcW w:w="5245" w:type="dxa"/>
            <w:noWrap/>
            <w:vAlign w:val="center"/>
          </w:tcPr>
          <w:p w14:paraId="3DA3FE3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清洁，防护拦安全可靠</w:t>
            </w:r>
          </w:p>
        </w:tc>
      </w:tr>
      <w:tr w14:paraId="4C2FA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22E8282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391" w:type="dxa"/>
            <w:vAlign w:val="center"/>
          </w:tcPr>
          <w:p w14:paraId="44F6613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轿顶检修开关、急停开关</w:t>
            </w:r>
          </w:p>
        </w:tc>
        <w:tc>
          <w:tcPr>
            <w:tcW w:w="5245" w:type="dxa"/>
            <w:noWrap/>
            <w:vAlign w:val="center"/>
          </w:tcPr>
          <w:p w14:paraId="24869C6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25663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02FFBC6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391" w:type="dxa"/>
            <w:vAlign w:val="center"/>
          </w:tcPr>
          <w:p w14:paraId="209459D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导靴上油杯</w:t>
            </w:r>
          </w:p>
        </w:tc>
        <w:tc>
          <w:tcPr>
            <w:tcW w:w="5245" w:type="dxa"/>
            <w:noWrap/>
            <w:vAlign w:val="center"/>
          </w:tcPr>
          <w:p w14:paraId="34C1009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吸油毛毡齐全，油量适宜，油杯无泄漏</w:t>
            </w:r>
          </w:p>
        </w:tc>
      </w:tr>
      <w:tr w14:paraId="17583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101EEC4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391" w:type="dxa"/>
            <w:vAlign w:val="center"/>
          </w:tcPr>
          <w:p w14:paraId="5A85ADC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对重块及其压板</w:t>
            </w:r>
          </w:p>
        </w:tc>
        <w:tc>
          <w:tcPr>
            <w:tcW w:w="5245" w:type="dxa"/>
            <w:noWrap/>
            <w:vAlign w:val="center"/>
          </w:tcPr>
          <w:p w14:paraId="79DFCE8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对重块无松动，压板紧固。</w:t>
            </w:r>
          </w:p>
        </w:tc>
      </w:tr>
      <w:tr w14:paraId="37D4B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5496EC9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391" w:type="dxa"/>
            <w:vAlign w:val="center"/>
          </w:tcPr>
          <w:p w14:paraId="5ACA0A8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井道照明</w:t>
            </w:r>
          </w:p>
        </w:tc>
        <w:tc>
          <w:tcPr>
            <w:tcW w:w="5245" w:type="dxa"/>
            <w:noWrap/>
            <w:vAlign w:val="center"/>
          </w:tcPr>
          <w:p w14:paraId="78D6D4E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齐全、正常</w:t>
            </w:r>
          </w:p>
        </w:tc>
      </w:tr>
      <w:tr w14:paraId="79220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0AF5A39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391" w:type="dxa"/>
            <w:vAlign w:val="center"/>
          </w:tcPr>
          <w:p w14:paraId="6D33F70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轿厢照明、风扇、应急照明</w:t>
            </w:r>
          </w:p>
        </w:tc>
        <w:tc>
          <w:tcPr>
            <w:tcW w:w="5245" w:type="dxa"/>
            <w:noWrap/>
            <w:vAlign w:val="center"/>
          </w:tcPr>
          <w:p w14:paraId="03D0323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6F344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EE3381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391" w:type="dxa"/>
            <w:vAlign w:val="center"/>
          </w:tcPr>
          <w:p w14:paraId="2D4DB24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轿厢检修开关、急停开关</w:t>
            </w:r>
          </w:p>
        </w:tc>
        <w:tc>
          <w:tcPr>
            <w:tcW w:w="5245" w:type="dxa"/>
            <w:noWrap/>
            <w:vAlign w:val="center"/>
          </w:tcPr>
          <w:p w14:paraId="24429C8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5709F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020A70F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w:t>
            </w:r>
          </w:p>
        </w:tc>
        <w:tc>
          <w:tcPr>
            <w:tcW w:w="3391" w:type="dxa"/>
            <w:vAlign w:val="center"/>
          </w:tcPr>
          <w:p w14:paraId="7712843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轿内报警装置、对讲系统</w:t>
            </w:r>
          </w:p>
        </w:tc>
        <w:tc>
          <w:tcPr>
            <w:tcW w:w="5245" w:type="dxa"/>
            <w:noWrap/>
            <w:vAlign w:val="center"/>
          </w:tcPr>
          <w:p w14:paraId="7C07E73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04254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7B59BE3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w:t>
            </w:r>
          </w:p>
        </w:tc>
        <w:tc>
          <w:tcPr>
            <w:tcW w:w="3391" w:type="dxa"/>
            <w:vAlign w:val="center"/>
          </w:tcPr>
          <w:p w14:paraId="06D8867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轿内显示、指令按钮</w:t>
            </w:r>
          </w:p>
        </w:tc>
        <w:tc>
          <w:tcPr>
            <w:tcW w:w="5245" w:type="dxa"/>
            <w:noWrap/>
            <w:vAlign w:val="center"/>
          </w:tcPr>
          <w:p w14:paraId="0324E41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齐全、有效</w:t>
            </w:r>
          </w:p>
        </w:tc>
      </w:tr>
      <w:tr w14:paraId="68700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AB67BA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w:t>
            </w:r>
          </w:p>
        </w:tc>
        <w:tc>
          <w:tcPr>
            <w:tcW w:w="3391" w:type="dxa"/>
            <w:vAlign w:val="center"/>
          </w:tcPr>
          <w:p w14:paraId="1A37147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轿门安全装置（安全触板，光幕、光电等）</w:t>
            </w:r>
          </w:p>
        </w:tc>
        <w:tc>
          <w:tcPr>
            <w:tcW w:w="5245" w:type="dxa"/>
            <w:noWrap/>
            <w:vAlign w:val="center"/>
          </w:tcPr>
          <w:p w14:paraId="26B4A15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功能有效</w:t>
            </w:r>
          </w:p>
        </w:tc>
      </w:tr>
      <w:tr w14:paraId="0FFE7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345D356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w:t>
            </w:r>
          </w:p>
        </w:tc>
        <w:tc>
          <w:tcPr>
            <w:tcW w:w="3391" w:type="dxa"/>
            <w:vAlign w:val="center"/>
          </w:tcPr>
          <w:p w14:paraId="0709E0C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轿门门锁电气触点</w:t>
            </w:r>
          </w:p>
        </w:tc>
        <w:tc>
          <w:tcPr>
            <w:tcW w:w="5245" w:type="dxa"/>
            <w:noWrap/>
            <w:vAlign w:val="center"/>
          </w:tcPr>
          <w:p w14:paraId="4496B81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 触点接触良好，接线可靠</w:t>
            </w:r>
          </w:p>
        </w:tc>
      </w:tr>
      <w:tr w14:paraId="59EA2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4E1D6B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w:t>
            </w:r>
          </w:p>
        </w:tc>
        <w:tc>
          <w:tcPr>
            <w:tcW w:w="3391" w:type="dxa"/>
            <w:vAlign w:val="center"/>
          </w:tcPr>
          <w:p w14:paraId="0989140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轿门运行</w:t>
            </w:r>
          </w:p>
        </w:tc>
        <w:tc>
          <w:tcPr>
            <w:tcW w:w="5245" w:type="dxa"/>
            <w:noWrap/>
            <w:vAlign w:val="center"/>
          </w:tcPr>
          <w:p w14:paraId="3EE66E2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开启和关闭工作正常</w:t>
            </w:r>
          </w:p>
        </w:tc>
      </w:tr>
      <w:tr w14:paraId="0D150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E73E71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20</w:t>
            </w:r>
          </w:p>
        </w:tc>
        <w:tc>
          <w:tcPr>
            <w:tcW w:w="3391" w:type="dxa"/>
            <w:vAlign w:val="center"/>
          </w:tcPr>
          <w:p w14:paraId="2D37FCD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轿厢平层精度</w:t>
            </w:r>
          </w:p>
        </w:tc>
        <w:tc>
          <w:tcPr>
            <w:tcW w:w="5245" w:type="dxa"/>
            <w:noWrap/>
            <w:vAlign w:val="center"/>
          </w:tcPr>
          <w:p w14:paraId="62CBFA4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14:paraId="076C0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noWrap/>
            <w:vAlign w:val="center"/>
          </w:tcPr>
          <w:p w14:paraId="52B6C4E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21</w:t>
            </w:r>
          </w:p>
        </w:tc>
        <w:tc>
          <w:tcPr>
            <w:tcW w:w="3391" w:type="dxa"/>
            <w:vAlign w:val="center"/>
          </w:tcPr>
          <w:p w14:paraId="6FDCA5B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层站召唤、层楼显示</w:t>
            </w:r>
          </w:p>
        </w:tc>
        <w:tc>
          <w:tcPr>
            <w:tcW w:w="5245" w:type="dxa"/>
            <w:noWrap/>
            <w:vAlign w:val="center"/>
          </w:tcPr>
          <w:p w14:paraId="0AEED2B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齐全、有效</w:t>
            </w:r>
          </w:p>
        </w:tc>
      </w:tr>
      <w:tr w14:paraId="05086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noWrap/>
            <w:vAlign w:val="center"/>
          </w:tcPr>
          <w:p w14:paraId="22885F3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22</w:t>
            </w:r>
          </w:p>
        </w:tc>
        <w:tc>
          <w:tcPr>
            <w:tcW w:w="3391" w:type="dxa"/>
            <w:vAlign w:val="center"/>
          </w:tcPr>
          <w:p w14:paraId="7B4D383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层门地坎</w:t>
            </w:r>
          </w:p>
        </w:tc>
        <w:tc>
          <w:tcPr>
            <w:tcW w:w="5245" w:type="dxa"/>
            <w:noWrap/>
            <w:vAlign w:val="center"/>
          </w:tcPr>
          <w:p w14:paraId="5EAF41A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w:t>
            </w:r>
          </w:p>
        </w:tc>
      </w:tr>
      <w:tr w14:paraId="07B57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noWrap/>
            <w:vAlign w:val="center"/>
          </w:tcPr>
          <w:p w14:paraId="22A75DF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23</w:t>
            </w:r>
          </w:p>
        </w:tc>
        <w:tc>
          <w:tcPr>
            <w:tcW w:w="3391" w:type="dxa"/>
            <w:vAlign w:val="center"/>
          </w:tcPr>
          <w:p w14:paraId="4160DD2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层门自动关门装置</w:t>
            </w:r>
          </w:p>
        </w:tc>
        <w:tc>
          <w:tcPr>
            <w:tcW w:w="5245" w:type="dxa"/>
            <w:noWrap/>
            <w:vAlign w:val="center"/>
          </w:tcPr>
          <w:p w14:paraId="2858730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正常</w:t>
            </w:r>
          </w:p>
        </w:tc>
      </w:tr>
      <w:tr w14:paraId="56673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0B07780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24</w:t>
            </w:r>
          </w:p>
        </w:tc>
        <w:tc>
          <w:tcPr>
            <w:tcW w:w="3391" w:type="dxa"/>
            <w:tcBorders>
              <w:top w:val="single" w:color="auto" w:sz="6" w:space="0"/>
              <w:left w:val="single" w:color="auto" w:sz="6" w:space="0"/>
              <w:bottom w:val="single" w:color="auto" w:sz="6" w:space="0"/>
              <w:right w:val="single" w:color="auto" w:sz="6" w:space="0"/>
            </w:tcBorders>
            <w:vAlign w:val="center"/>
          </w:tcPr>
          <w:p w14:paraId="50746AF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层门门锁自动复位</w:t>
            </w:r>
          </w:p>
        </w:tc>
        <w:tc>
          <w:tcPr>
            <w:tcW w:w="5245" w:type="dxa"/>
            <w:tcBorders>
              <w:top w:val="single" w:color="auto" w:sz="6" w:space="0"/>
              <w:left w:val="single" w:color="auto" w:sz="6" w:space="0"/>
              <w:bottom w:val="single" w:color="auto" w:sz="6" w:space="0"/>
              <w:right w:val="single" w:color="auto" w:sz="12" w:space="0"/>
            </w:tcBorders>
            <w:noWrap/>
            <w:vAlign w:val="center"/>
          </w:tcPr>
          <w:p w14:paraId="4261810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用层门钥匙打开手动开锁装置释放后，层门门锁能自动复位</w:t>
            </w:r>
          </w:p>
        </w:tc>
      </w:tr>
      <w:tr w14:paraId="0EE30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01A7631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25</w:t>
            </w:r>
          </w:p>
        </w:tc>
        <w:tc>
          <w:tcPr>
            <w:tcW w:w="3391" w:type="dxa"/>
            <w:tcBorders>
              <w:top w:val="single" w:color="auto" w:sz="6" w:space="0"/>
              <w:left w:val="single" w:color="auto" w:sz="6" w:space="0"/>
              <w:bottom w:val="single" w:color="auto" w:sz="6" w:space="0"/>
              <w:right w:val="single" w:color="auto" w:sz="6" w:space="0"/>
            </w:tcBorders>
            <w:vAlign w:val="center"/>
          </w:tcPr>
          <w:p w14:paraId="5A5576E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层门门锁电气触点</w:t>
            </w:r>
          </w:p>
        </w:tc>
        <w:tc>
          <w:tcPr>
            <w:tcW w:w="5245" w:type="dxa"/>
            <w:tcBorders>
              <w:top w:val="single" w:color="auto" w:sz="6" w:space="0"/>
              <w:left w:val="single" w:color="auto" w:sz="6" w:space="0"/>
              <w:bottom w:val="single" w:color="auto" w:sz="6" w:space="0"/>
              <w:right w:val="single" w:color="auto" w:sz="12" w:space="0"/>
            </w:tcBorders>
            <w:noWrap/>
            <w:vAlign w:val="center"/>
          </w:tcPr>
          <w:p w14:paraId="2AE8D08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 触点接触良好，接线可靠</w:t>
            </w:r>
          </w:p>
        </w:tc>
      </w:tr>
      <w:tr w14:paraId="51F9A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25C5935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26</w:t>
            </w:r>
          </w:p>
        </w:tc>
        <w:tc>
          <w:tcPr>
            <w:tcW w:w="3391" w:type="dxa"/>
            <w:tcBorders>
              <w:top w:val="single" w:color="auto" w:sz="6" w:space="0"/>
              <w:left w:val="single" w:color="auto" w:sz="6" w:space="0"/>
              <w:bottom w:val="single" w:color="auto" w:sz="6" w:space="0"/>
              <w:right w:val="single" w:color="auto" w:sz="6" w:space="0"/>
            </w:tcBorders>
            <w:vAlign w:val="center"/>
          </w:tcPr>
          <w:p w14:paraId="406CAC2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层门锁紧元件啮合长度</w:t>
            </w:r>
          </w:p>
        </w:tc>
        <w:tc>
          <w:tcPr>
            <w:tcW w:w="5245" w:type="dxa"/>
            <w:tcBorders>
              <w:top w:val="single" w:color="auto" w:sz="6" w:space="0"/>
              <w:left w:val="single" w:color="auto" w:sz="6" w:space="0"/>
              <w:bottom w:val="single" w:color="auto" w:sz="6" w:space="0"/>
              <w:right w:val="single" w:color="auto" w:sz="12" w:space="0"/>
            </w:tcBorders>
            <w:noWrap/>
            <w:vAlign w:val="center"/>
          </w:tcPr>
          <w:p w14:paraId="1688A7D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不小于7mm</w:t>
            </w:r>
          </w:p>
        </w:tc>
      </w:tr>
      <w:tr w14:paraId="5CF67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368576B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27</w:t>
            </w:r>
          </w:p>
        </w:tc>
        <w:tc>
          <w:tcPr>
            <w:tcW w:w="3391" w:type="dxa"/>
            <w:tcBorders>
              <w:top w:val="single" w:color="auto" w:sz="6" w:space="0"/>
              <w:left w:val="single" w:color="auto" w:sz="6" w:space="0"/>
              <w:bottom w:val="single" w:color="auto" w:sz="6" w:space="0"/>
              <w:right w:val="single" w:color="auto" w:sz="6" w:space="0"/>
            </w:tcBorders>
            <w:vAlign w:val="center"/>
          </w:tcPr>
          <w:p w14:paraId="70CFA19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底坑环境</w:t>
            </w:r>
          </w:p>
        </w:tc>
        <w:tc>
          <w:tcPr>
            <w:tcW w:w="5245" w:type="dxa"/>
            <w:tcBorders>
              <w:top w:val="single" w:color="auto" w:sz="6" w:space="0"/>
              <w:left w:val="single" w:color="auto" w:sz="6" w:space="0"/>
              <w:bottom w:val="single" w:color="auto" w:sz="6" w:space="0"/>
              <w:right w:val="single" w:color="auto" w:sz="12" w:space="0"/>
            </w:tcBorders>
            <w:noWrap/>
            <w:vAlign w:val="center"/>
          </w:tcPr>
          <w:p w14:paraId="23E7ECA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清洁，无渗水、积水，照明正常</w:t>
            </w:r>
          </w:p>
        </w:tc>
      </w:tr>
      <w:tr w14:paraId="61414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5" w:type="dxa"/>
            <w:tcBorders>
              <w:top w:val="single" w:color="auto" w:sz="6" w:space="0"/>
              <w:left w:val="single" w:color="auto" w:sz="12" w:space="0"/>
              <w:bottom w:val="single" w:color="auto" w:sz="12" w:space="0"/>
              <w:right w:val="single" w:color="auto" w:sz="6" w:space="0"/>
            </w:tcBorders>
            <w:noWrap/>
            <w:vAlign w:val="center"/>
          </w:tcPr>
          <w:p w14:paraId="5386B16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28</w:t>
            </w:r>
          </w:p>
        </w:tc>
        <w:tc>
          <w:tcPr>
            <w:tcW w:w="3391" w:type="dxa"/>
            <w:tcBorders>
              <w:top w:val="single" w:color="auto" w:sz="6" w:space="0"/>
              <w:left w:val="single" w:color="auto" w:sz="6" w:space="0"/>
              <w:bottom w:val="single" w:color="auto" w:sz="12" w:space="0"/>
              <w:right w:val="single" w:color="auto" w:sz="6" w:space="0"/>
            </w:tcBorders>
            <w:vAlign w:val="center"/>
          </w:tcPr>
          <w:p w14:paraId="1F0AF15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底坑急停开关</w:t>
            </w:r>
          </w:p>
        </w:tc>
        <w:tc>
          <w:tcPr>
            <w:tcW w:w="5245" w:type="dxa"/>
            <w:tcBorders>
              <w:top w:val="single" w:color="auto" w:sz="6" w:space="0"/>
              <w:left w:val="single" w:color="auto" w:sz="6" w:space="0"/>
              <w:bottom w:val="single" w:color="auto" w:sz="12" w:space="0"/>
              <w:right w:val="single" w:color="auto" w:sz="12" w:space="0"/>
            </w:tcBorders>
            <w:noWrap/>
            <w:vAlign w:val="center"/>
          </w:tcPr>
          <w:p w14:paraId="167DA49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14:paraId="3C083ADA">
      <w:pPr>
        <w:pStyle w:val="3"/>
        <w:spacing w:before="78" w:line="360" w:lineRule="auto"/>
        <w:rPr>
          <w:rFonts w:ascii="仿宋" w:hAnsi="仿宋" w:eastAsia="仿宋" w:cs="仿宋"/>
          <w:kern w:val="2"/>
          <w:lang w:eastAsia="zh-CN"/>
        </w:rPr>
      </w:pPr>
    </w:p>
    <w:p w14:paraId="5D49E1A6">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表A-2  季度维保项目（内容）和要求 &lt;含半月维保项目&gt;</w:t>
      </w:r>
    </w:p>
    <w:tbl>
      <w:tblPr>
        <w:tblStyle w:val="8"/>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420"/>
        <w:gridCol w:w="5220"/>
      </w:tblGrid>
      <w:tr w14:paraId="7A2B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24375A9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14:paraId="7AF07ED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noWrap/>
            <w:vAlign w:val="center"/>
          </w:tcPr>
          <w:p w14:paraId="2B225D2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228A8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1971BEF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14:paraId="1504DA5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noWrap/>
            <w:vAlign w:val="center"/>
          </w:tcPr>
          <w:p w14:paraId="28457CD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油量适宜，除蜗杆伸出端外均无渗漏</w:t>
            </w:r>
          </w:p>
        </w:tc>
      </w:tr>
      <w:tr w14:paraId="42099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3C43361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14:paraId="562DE43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制动衬</w:t>
            </w:r>
          </w:p>
        </w:tc>
        <w:tc>
          <w:tcPr>
            <w:tcW w:w="5220" w:type="dxa"/>
            <w:noWrap/>
            <w:vAlign w:val="center"/>
          </w:tcPr>
          <w:p w14:paraId="070E287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清洁，磨损量不超过制造单位要求</w:t>
            </w:r>
          </w:p>
        </w:tc>
      </w:tr>
      <w:tr w14:paraId="501F1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4A87966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14:paraId="0E1568B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位置脉冲发生器</w:t>
            </w:r>
          </w:p>
        </w:tc>
        <w:tc>
          <w:tcPr>
            <w:tcW w:w="5220" w:type="dxa"/>
            <w:noWrap/>
            <w:vAlign w:val="center"/>
          </w:tcPr>
          <w:p w14:paraId="5C8D02E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458AD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70EC315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14:paraId="3B29A91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选层器动静触点</w:t>
            </w:r>
          </w:p>
        </w:tc>
        <w:tc>
          <w:tcPr>
            <w:tcW w:w="5220" w:type="dxa"/>
            <w:noWrap/>
            <w:vAlign w:val="center"/>
          </w:tcPr>
          <w:p w14:paraId="187BCD7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清洁，无烧蚀</w:t>
            </w:r>
          </w:p>
        </w:tc>
      </w:tr>
      <w:tr w14:paraId="258E9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7034F20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14:paraId="28D4097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曳引轮槽、曳引钢丝绳</w:t>
            </w:r>
          </w:p>
        </w:tc>
        <w:tc>
          <w:tcPr>
            <w:tcW w:w="5220" w:type="dxa"/>
            <w:noWrap/>
            <w:vAlign w:val="center"/>
          </w:tcPr>
          <w:p w14:paraId="145830A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清洁，无严重油腻，张力均匀</w:t>
            </w:r>
          </w:p>
        </w:tc>
      </w:tr>
      <w:tr w14:paraId="041C7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2ED9832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14:paraId="3CE333C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限速器轮槽、限速器钢丝绳</w:t>
            </w:r>
          </w:p>
        </w:tc>
        <w:tc>
          <w:tcPr>
            <w:tcW w:w="5220" w:type="dxa"/>
            <w:noWrap/>
            <w:vAlign w:val="center"/>
          </w:tcPr>
          <w:p w14:paraId="6D28762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清洁，无严重油腻</w:t>
            </w:r>
          </w:p>
        </w:tc>
      </w:tr>
      <w:tr w14:paraId="119A4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532E636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14:paraId="71AAF34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靴衬、滚轮</w:t>
            </w:r>
          </w:p>
        </w:tc>
        <w:tc>
          <w:tcPr>
            <w:tcW w:w="5220" w:type="dxa"/>
            <w:noWrap/>
            <w:vAlign w:val="center"/>
          </w:tcPr>
          <w:p w14:paraId="26903A0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清洁，磨损量不超过制造单位要求</w:t>
            </w:r>
          </w:p>
        </w:tc>
      </w:tr>
      <w:tr w14:paraId="7C885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51D7EF6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14:paraId="319CB70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验证轿门关闭的电气安全装置</w:t>
            </w:r>
          </w:p>
        </w:tc>
        <w:tc>
          <w:tcPr>
            <w:tcW w:w="5220" w:type="dxa"/>
            <w:noWrap/>
            <w:vAlign w:val="center"/>
          </w:tcPr>
          <w:p w14:paraId="6B9AC27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1F7CE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3DECD6E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14:paraId="14B2911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层门、轿门系统中传动钢丝绳、链条、胶带</w:t>
            </w:r>
          </w:p>
        </w:tc>
        <w:tc>
          <w:tcPr>
            <w:tcW w:w="5220" w:type="dxa"/>
            <w:noWrap/>
            <w:vAlign w:val="center"/>
          </w:tcPr>
          <w:p w14:paraId="65F1860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按照制造单位要求进行清洁、调整</w:t>
            </w:r>
          </w:p>
        </w:tc>
      </w:tr>
      <w:tr w14:paraId="6022C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7EAD092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14:paraId="343DC3D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层门门导靴</w:t>
            </w:r>
          </w:p>
        </w:tc>
        <w:tc>
          <w:tcPr>
            <w:tcW w:w="5220" w:type="dxa"/>
            <w:noWrap/>
            <w:vAlign w:val="center"/>
          </w:tcPr>
          <w:p w14:paraId="160BAA5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磨损量不超过制造单位要求</w:t>
            </w:r>
          </w:p>
        </w:tc>
      </w:tr>
      <w:tr w14:paraId="22591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5D35580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14:paraId="67D6E97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消防开关</w:t>
            </w:r>
          </w:p>
        </w:tc>
        <w:tc>
          <w:tcPr>
            <w:tcW w:w="5220" w:type="dxa"/>
            <w:noWrap/>
            <w:vAlign w:val="center"/>
          </w:tcPr>
          <w:p w14:paraId="70CB86C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工作正常，功能有效</w:t>
            </w:r>
          </w:p>
        </w:tc>
      </w:tr>
      <w:tr w14:paraId="4755C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1475DED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14:paraId="29395AB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耗能缓冲器</w:t>
            </w:r>
          </w:p>
        </w:tc>
        <w:tc>
          <w:tcPr>
            <w:tcW w:w="5220" w:type="dxa"/>
            <w:noWrap/>
            <w:vAlign w:val="center"/>
          </w:tcPr>
          <w:p w14:paraId="67A4E0B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电气安全装置功能有效，油量适宜，柱塞无锈蚀</w:t>
            </w:r>
          </w:p>
        </w:tc>
      </w:tr>
      <w:tr w14:paraId="51336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noWrap/>
            <w:vAlign w:val="center"/>
          </w:tcPr>
          <w:p w14:paraId="71BBBBF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14:paraId="7D5DFF6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限速器张紧轮装置和电气安全装置</w:t>
            </w:r>
          </w:p>
        </w:tc>
        <w:tc>
          <w:tcPr>
            <w:tcW w:w="5220" w:type="dxa"/>
            <w:noWrap/>
            <w:vAlign w:val="center"/>
          </w:tcPr>
          <w:p w14:paraId="4058C5D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14:paraId="2DEF7370">
      <w:pPr>
        <w:pStyle w:val="3"/>
        <w:spacing w:before="78" w:line="360" w:lineRule="auto"/>
        <w:ind w:firstLine="240" w:firstLineChars="100"/>
        <w:rPr>
          <w:rFonts w:ascii="仿宋" w:hAnsi="仿宋" w:eastAsia="仿宋" w:cs="仿宋"/>
          <w:kern w:val="2"/>
          <w:lang w:eastAsia="zh-CN"/>
        </w:rPr>
      </w:pPr>
    </w:p>
    <w:p w14:paraId="330F2761">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表A-3  半年维保项目（内容）和要求 &lt;含半月及季度维保项目&gt;</w:t>
      </w:r>
    </w:p>
    <w:tbl>
      <w:tblPr>
        <w:tblStyle w:val="8"/>
        <w:tblW w:w="9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14:paraId="25773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0DD30E8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14:paraId="31D74D0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noWrap/>
            <w:vAlign w:val="center"/>
          </w:tcPr>
          <w:p w14:paraId="0860275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0706E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1C6B5EC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14:paraId="791C289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电动机与减速机联轴器螺栓</w:t>
            </w:r>
          </w:p>
        </w:tc>
        <w:tc>
          <w:tcPr>
            <w:tcW w:w="5220" w:type="dxa"/>
            <w:noWrap/>
            <w:vAlign w:val="center"/>
          </w:tcPr>
          <w:p w14:paraId="2155F2E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无松动</w:t>
            </w:r>
          </w:p>
        </w:tc>
      </w:tr>
      <w:tr w14:paraId="22110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46B5F8E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14:paraId="7D72CC0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曳引轮、导向轮轴承部</w:t>
            </w:r>
          </w:p>
        </w:tc>
        <w:tc>
          <w:tcPr>
            <w:tcW w:w="5220" w:type="dxa"/>
            <w:noWrap/>
            <w:vAlign w:val="center"/>
          </w:tcPr>
          <w:p w14:paraId="083042B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无异常声，无振动，润滑良好</w:t>
            </w:r>
          </w:p>
        </w:tc>
      </w:tr>
      <w:tr w14:paraId="3783F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453392E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14:paraId="142F9C9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曳引轮槽</w:t>
            </w:r>
          </w:p>
        </w:tc>
        <w:tc>
          <w:tcPr>
            <w:tcW w:w="5220" w:type="dxa"/>
            <w:noWrap/>
            <w:vAlign w:val="center"/>
          </w:tcPr>
          <w:p w14:paraId="30D65B7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磨损量不超过制造单位要求</w:t>
            </w:r>
          </w:p>
        </w:tc>
      </w:tr>
      <w:tr w14:paraId="6B3C4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5C6B4B7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14:paraId="5ED9A4C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制动器上检测开关</w:t>
            </w:r>
          </w:p>
        </w:tc>
        <w:tc>
          <w:tcPr>
            <w:tcW w:w="5220" w:type="dxa"/>
            <w:noWrap/>
            <w:vAlign w:val="center"/>
          </w:tcPr>
          <w:p w14:paraId="1AD13CE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工作正常，制动器动作可靠</w:t>
            </w:r>
          </w:p>
        </w:tc>
      </w:tr>
      <w:tr w14:paraId="71386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4F25F1D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14:paraId="67ECB12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控制柜内各接线端子</w:t>
            </w:r>
          </w:p>
        </w:tc>
        <w:tc>
          <w:tcPr>
            <w:tcW w:w="5220" w:type="dxa"/>
            <w:noWrap/>
            <w:vAlign w:val="center"/>
          </w:tcPr>
          <w:p w14:paraId="2006A0F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各接线紧固、整齐，线号齐全清晰</w:t>
            </w:r>
          </w:p>
        </w:tc>
      </w:tr>
      <w:tr w14:paraId="46496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7337411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14:paraId="65D08F7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控制柜各仪表</w:t>
            </w:r>
          </w:p>
        </w:tc>
        <w:tc>
          <w:tcPr>
            <w:tcW w:w="5220" w:type="dxa"/>
            <w:noWrap/>
            <w:vAlign w:val="center"/>
          </w:tcPr>
          <w:p w14:paraId="66F2341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显示正确</w:t>
            </w:r>
          </w:p>
        </w:tc>
      </w:tr>
      <w:tr w14:paraId="526AF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5EDF045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14:paraId="5EB85A2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井道、对重、轿顶各反绳轮轴承部</w:t>
            </w:r>
          </w:p>
        </w:tc>
        <w:tc>
          <w:tcPr>
            <w:tcW w:w="5220" w:type="dxa"/>
            <w:noWrap/>
            <w:vAlign w:val="center"/>
          </w:tcPr>
          <w:p w14:paraId="0ED0141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无异常声，无振动，润滑良好</w:t>
            </w:r>
          </w:p>
        </w:tc>
      </w:tr>
      <w:tr w14:paraId="21E34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3205060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14:paraId="42F5580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曳引绳、补偿绳</w:t>
            </w:r>
          </w:p>
        </w:tc>
        <w:tc>
          <w:tcPr>
            <w:tcW w:w="5220" w:type="dxa"/>
            <w:noWrap/>
            <w:vAlign w:val="center"/>
          </w:tcPr>
          <w:p w14:paraId="61F87B4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磨损量、断丝数不超过要求</w:t>
            </w:r>
          </w:p>
        </w:tc>
      </w:tr>
      <w:tr w14:paraId="0AE34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2D66C3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14:paraId="2F755C2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曳引绳绳头组合</w:t>
            </w:r>
          </w:p>
        </w:tc>
        <w:tc>
          <w:tcPr>
            <w:tcW w:w="5220" w:type="dxa"/>
            <w:noWrap/>
            <w:vAlign w:val="center"/>
          </w:tcPr>
          <w:p w14:paraId="7DEFD6A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螺母无松动</w:t>
            </w:r>
          </w:p>
        </w:tc>
      </w:tr>
      <w:tr w14:paraId="28889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694CCA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14:paraId="41DE5AB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限速器钢丝绳</w:t>
            </w:r>
          </w:p>
        </w:tc>
        <w:tc>
          <w:tcPr>
            <w:tcW w:w="5220" w:type="dxa"/>
            <w:noWrap/>
            <w:vAlign w:val="center"/>
          </w:tcPr>
          <w:p w14:paraId="156EE30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磨损量、断丝数不超过制造单位要求</w:t>
            </w:r>
          </w:p>
        </w:tc>
      </w:tr>
      <w:tr w14:paraId="0E01C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58C9430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14:paraId="1BF19EE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层门、轿门门扇</w:t>
            </w:r>
          </w:p>
        </w:tc>
        <w:tc>
          <w:tcPr>
            <w:tcW w:w="5220" w:type="dxa"/>
            <w:noWrap/>
            <w:vAlign w:val="center"/>
          </w:tcPr>
          <w:p w14:paraId="2963D7F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门扇各相关间隙符合标准</w:t>
            </w:r>
          </w:p>
        </w:tc>
      </w:tr>
      <w:tr w14:paraId="3A69E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266F759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14:paraId="3300244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对重缓冲距</w:t>
            </w:r>
          </w:p>
        </w:tc>
        <w:tc>
          <w:tcPr>
            <w:tcW w:w="5220" w:type="dxa"/>
            <w:noWrap/>
            <w:vAlign w:val="center"/>
          </w:tcPr>
          <w:p w14:paraId="44DDE48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14:paraId="4733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535E91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14:paraId="2DF9B3F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补偿链（绳）与轿厢、对重接合处</w:t>
            </w:r>
          </w:p>
        </w:tc>
        <w:tc>
          <w:tcPr>
            <w:tcW w:w="5220" w:type="dxa"/>
            <w:noWrap/>
            <w:vAlign w:val="center"/>
          </w:tcPr>
          <w:p w14:paraId="0CDC581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固定、无松动</w:t>
            </w:r>
          </w:p>
        </w:tc>
      </w:tr>
      <w:tr w14:paraId="3B94B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4E5BE25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420" w:type="dxa"/>
            <w:vAlign w:val="center"/>
          </w:tcPr>
          <w:p w14:paraId="15BAE57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上下极限开关</w:t>
            </w:r>
          </w:p>
        </w:tc>
        <w:tc>
          <w:tcPr>
            <w:tcW w:w="5220" w:type="dxa"/>
            <w:noWrap/>
            <w:vAlign w:val="center"/>
          </w:tcPr>
          <w:p w14:paraId="6855ED7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14:paraId="17483179">
      <w:pPr>
        <w:pStyle w:val="3"/>
        <w:spacing w:before="78" w:line="360" w:lineRule="auto"/>
        <w:ind w:firstLine="240" w:firstLineChars="100"/>
        <w:rPr>
          <w:rFonts w:ascii="仿宋" w:hAnsi="仿宋" w:eastAsia="仿宋" w:cs="仿宋"/>
          <w:kern w:val="2"/>
          <w:lang w:eastAsia="zh-CN"/>
        </w:rPr>
      </w:pPr>
    </w:p>
    <w:p w14:paraId="44A7D809">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表A-4  年度维保项目（内容）和要求&lt;含半月、季度及半年维保项目&gt;</w:t>
      </w:r>
    </w:p>
    <w:tbl>
      <w:tblPr>
        <w:tblStyle w:val="8"/>
        <w:tblW w:w="9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14:paraId="3A170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1D35E84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14:paraId="7BB7C43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noWrap/>
            <w:vAlign w:val="center"/>
          </w:tcPr>
          <w:p w14:paraId="5DE5D6D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2F079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03B74D5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14:paraId="61859BB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noWrap/>
            <w:vAlign w:val="center"/>
          </w:tcPr>
          <w:p w14:paraId="31F120A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按照制造单位要求适时更换，保证油质符合要求</w:t>
            </w:r>
          </w:p>
        </w:tc>
      </w:tr>
      <w:tr w14:paraId="10A7A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6DBFF95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14:paraId="164BA14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控制柜接触器，继电器触点</w:t>
            </w:r>
          </w:p>
        </w:tc>
        <w:tc>
          <w:tcPr>
            <w:tcW w:w="5220" w:type="dxa"/>
            <w:noWrap/>
            <w:vAlign w:val="center"/>
          </w:tcPr>
          <w:p w14:paraId="51ED61F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接触良好</w:t>
            </w:r>
          </w:p>
        </w:tc>
      </w:tr>
      <w:tr w14:paraId="2D35A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002D34F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14:paraId="0D3E464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制动器铁芯（柱塞）</w:t>
            </w:r>
          </w:p>
        </w:tc>
        <w:tc>
          <w:tcPr>
            <w:tcW w:w="5220" w:type="dxa"/>
            <w:noWrap/>
            <w:vAlign w:val="center"/>
          </w:tcPr>
          <w:p w14:paraId="72D0D20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进行清洁、润滑、检查，磨损量不超过制造单位要求</w:t>
            </w:r>
          </w:p>
        </w:tc>
      </w:tr>
      <w:tr w14:paraId="07C34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5854664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14:paraId="657FFD2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制动器制动弹簧压缩量</w:t>
            </w:r>
          </w:p>
        </w:tc>
        <w:tc>
          <w:tcPr>
            <w:tcW w:w="5220" w:type="dxa"/>
            <w:noWrap/>
            <w:vAlign w:val="center"/>
          </w:tcPr>
          <w:p w14:paraId="372314F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符合制造单位要求，保持有足够的制动力</w:t>
            </w:r>
          </w:p>
        </w:tc>
      </w:tr>
      <w:tr w14:paraId="724F2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08AA7BB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14:paraId="38AE689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导电回路绝缘性能测试</w:t>
            </w:r>
          </w:p>
        </w:tc>
        <w:tc>
          <w:tcPr>
            <w:tcW w:w="5220" w:type="dxa"/>
            <w:noWrap/>
            <w:vAlign w:val="center"/>
          </w:tcPr>
          <w:p w14:paraId="7BB5EF0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14:paraId="4A65F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6A259B0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tcBorders>
              <w:top w:val="single" w:color="auto" w:sz="6" w:space="0"/>
              <w:left w:val="single" w:color="auto" w:sz="6" w:space="0"/>
              <w:bottom w:val="single" w:color="auto" w:sz="6" w:space="0"/>
              <w:right w:val="single" w:color="auto" w:sz="6" w:space="0"/>
            </w:tcBorders>
            <w:vAlign w:val="center"/>
          </w:tcPr>
          <w:p w14:paraId="5869970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限速器安全钳联动试验（每2年进行一次限速器动作速度校验）</w:t>
            </w:r>
          </w:p>
        </w:tc>
        <w:tc>
          <w:tcPr>
            <w:tcW w:w="5220" w:type="dxa"/>
            <w:tcBorders>
              <w:top w:val="single" w:color="auto" w:sz="6" w:space="0"/>
              <w:left w:val="single" w:color="auto" w:sz="6" w:space="0"/>
              <w:bottom w:val="single" w:color="auto" w:sz="6" w:space="0"/>
              <w:right w:val="single" w:color="auto" w:sz="12" w:space="0"/>
            </w:tcBorders>
            <w:noWrap/>
            <w:vAlign w:val="center"/>
          </w:tcPr>
          <w:p w14:paraId="5AB1E61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64557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6E4E136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tcBorders>
              <w:top w:val="single" w:color="auto" w:sz="6" w:space="0"/>
              <w:left w:val="single" w:color="auto" w:sz="6" w:space="0"/>
              <w:bottom w:val="single" w:color="auto" w:sz="6" w:space="0"/>
              <w:right w:val="single" w:color="auto" w:sz="6" w:space="0"/>
            </w:tcBorders>
            <w:vAlign w:val="center"/>
          </w:tcPr>
          <w:p w14:paraId="05E4EFF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上行超速保护装置动作试验</w:t>
            </w:r>
          </w:p>
        </w:tc>
        <w:tc>
          <w:tcPr>
            <w:tcW w:w="5220" w:type="dxa"/>
            <w:tcBorders>
              <w:top w:val="single" w:color="auto" w:sz="6" w:space="0"/>
              <w:left w:val="single" w:color="auto" w:sz="6" w:space="0"/>
              <w:bottom w:val="single" w:color="auto" w:sz="6" w:space="0"/>
              <w:right w:val="single" w:color="auto" w:sz="12" w:space="0"/>
            </w:tcBorders>
            <w:noWrap/>
            <w:vAlign w:val="center"/>
          </w:tcPr>
          <w:p w14:paraId="0326CC7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20DBC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01664BA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tcBorders>
              <w:top w:val="single" w:color="auto" w:sz="6" w:space="0"/>
              <w:left w:val="single" w:color="auto" w:sz="6" w:space="0"/>
              <w:bottom w:val="single" w:color="auto" w:sz="6" w:space="0"/>
              <w:right w:val="single" w:color="auto" w:sz="6" w:space="0"/>
            </w:tcBorders>
            <w:vAlign w:val="center"/>
          </w:tcPr>
          <w:p w14:paraId="788C277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轿顶、轿厢架、轿门及其附件安装螺栓</w:t>
            </w:r>
          </w:p>
        </w:tc>
        <w:tc>
          <w:tcPr>
            <w:tcW w:w="5220" w:type="dxa"/>
            <w:tcBorders>
              <w:top w:val="single" w:color="auto" w:sz="6" w:space="0"/>
              <w:left w:val="single" w:color="auto" w:sz="6" w:space="0"/>
              <w:bottom w:val="single" w:color="auto" w:sz="6" w:space="0"/>
              <w:right w:val="single" w:color="auto" w:sz="12" w:space="0"/>
            </w:tcBorders>
            <w:noWrap/>
            <w:vAlign w:val="center"/>
          </w:tcPr>
          <w:p w14:paraId="6794BA8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紧固</w:t>
            </w:r>
          </w:p>
        </w:tc>
      </w:tr>
      <w:tr w14:paraId="0C64A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2D91D5B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tcBorders>
              <w:top w:val="single" w:color="auto" w:sz="6" w:space="0"/>
              <w:left w:val="single" w:color="auto" w:sz="6" w:space="0"/>
              <w:bottom w:val="single" w:color="auto" w:sz="6" w:space="0"/>
              <w:right w:val="single" w:color="auto" w:sz="6" w:space="0"/>
            </w:tcBorders>
            <w:vAlign w:val="center"/>
          </w:tcPr>
          <w:p w14:paraId="6CDB63C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轿厢和对重的导轨支架</w:t>
            </w:r>
          </w:p>
        </w:tc>
        <w:tc>
          <w:tcPr>
            <w:tcW w:w="5220" w:type="dxa"/>
            <w:tcBorders>
              <w:top w:val="single" w:color="auto" w:sz="6" w:space="0"/>
              <w:left w:val="single" w:color="auto" w:sz="6" w:space="0"/>
              <w:bottom w:val="single" w:color="auto" w:sz="6" w:space="0"/>
              <w:right w:val="single" w:color="auto" w:sz="12" w:space="0"/>
            </w:tcBorders>
            <w:noWrap/>
            <w:vAlign w:val="center"/>
          </w:tcPr>
          <w:p w14:paraId="2FE9EE9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固定，无松动 </w:t>
            </w:r>
          </w:p>
        </w:tc>
      </w:tr>
      <w:tr w14:paraId="0FBAF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4D83D49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tcBorders>
              <w:top w:val="single" w:color="auto" w:sz="6" w:space="0"/>
              <w:left w:val="single" w:color="auto" w:sz="6" w:space="0"/>
              <w:bottom w:val="single" w:color="auto" w:sz="6" w:space="0"/>
              <w:right w:val="single" w:color="auto" w:sz="6" w:space="0"/>
            </w:tcBorders>
            <w:vAlign w:val="center"/>
          </w:tcPr>
          <w:p w14:paraId="2A1EA2D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轿厢和对重的导轨</w:t>
            </w:r>
          </w:p>
        </w:tc>
        <w:tc>
          <w:tcPr>
            <w:tcW w:w="5220" w:type="dxa"/>
            <w:tcBorders>
              <w:top w:val="single" w:color="auto" w:sz="6" w:space="0"/>
              <w:left w:val="single" w:color="auto" w:sz="6" w:space="0"/>
              <w:bottom w:val="single" w:color="auto" w:sz="6" w:space="0"/>
              <w:right w:val="single" w:color="auto" w:sz="12" w:space="0"/>
            </w:tcBorders>
            <w:noWrap/>
            <w:vAlign w:val="center"/>
          </w:tcPr>
          <w:p w14:paraId="4931D4E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清洁，压板牢固</w:t>
            </w:r>
          </w:p>
        </w:tc>
      </w:tr>
      <w:tr w14:paraId="0E0CE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23EBD64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tcBorders>
              <w:top w:val="single" w:color="auto" w:sz="6" w:space="0"/>
              <w:left w:val="single" w:color="auto" w:sz="6" w:space="0"/>
              <w:bottom w:val="single" w:color="auto" w:sz="6" w:space="0"/>
              <w:right w:val="single" w:color="auto" w:sz="6" w:space="0"/>
            </w:tcBorders>
            <w:vAlign w:val="center"/>
          </w:tcPr>
          <w:p w14:paraId="69DE901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随行电缆</w:t>
            </w:r>
          </w:p>
        </w:tc>
        <w:tc>
          <w:tcPr>
            <w:tcW w:w="5220" w:type="dxa"/>
            <w:tcBorders>
              <w:top w:val="single" w:color="auto" w:sz="6" w:space="0"/>
              <w:left w:val="single" w:color="auto" w:sz="6" w:space="0"/>
              <w:bottom w:val="single" w:color="auto" w:sz="6" w:space="0"/>
              <w:right w:val="single" w:color="auto" w:sz="12" w:space="0"/>
            </w:tcBorders>
            <w:noWrap/>
            <w:vAlign w:val="center"/>
          </w:tcPr>
          <w:p w14:paraId="18B2B6F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无损伤</w:t>
            </w:r>
          </w:p>
        </w:tc>
      </w:tr>
      <w:tr w14:paraId="23427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77450EE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tcBorders>
              <w:top w:val="single" w:color="auto" w:sz="6" w:space="0"/>
              <w:left w:val="single" w:color="auto" w:sz="6" w:space="0"/>
              <w:bottom w:val="single" w:color="auto" w:sz="6" w:space="0"/>
              <w:right w:val="single" w:color="auto" w:sz="6" w:space="0"/>
            </w:tcBorders>
            <w:vAlign w:val="center"/>
          </w:tcPr>
          <w:p w14:paraId="18F7C7F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层门装置和地坎</w:t>
            </w:r>
          </w:p>
        </w:tc>
        <w:tc>
          <w:tcPr>
            <w:tcW w:w="5220" w:type="dxa"/>
            <w:tcBorders>
              <w:top w:val="single" w:color="auto" w:sz="6" w:space="0"/>
              <w:left w:val="single" w:color="auto" w:sz="6" w:space="0"/>
              <w:bottom w:val="single" w:color="auto" w:sz="6" w:space="0"/>
              <w:right w:val="single" w:color="auto" w:sz="12" w:space="0"/>
            </w:tcBorders>
            <w:noWrap/>
            <w:vAlign w:val="center"/>
          </w:tcPr>
          <w:p w14:paraId="053FF6C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无影响正常使用的变形，各安装螺栓紧固</w:t>
            </w:r>
          </w:p>
        </w:tc>
      </w:tr>
      <w:tr w14:paraId="1A015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0387DE8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tcBorders>
              <w:top w:val="single" w:color="auto" w:sz="6" w:space="0"/>
              <w:left w:val="single" w:color="auto" w:sz="6" w:space="0"/>
              <w:bottom w:val="single" w:color="auto" w:sz="6" w:space="0"/>
              <w:right w:val="single" w:color="auto" w:sz="6" w:space="0"/>
            </w:tcBorders>
            <w:vAlign w:val="center"/>
          </w:tcPr>
          <w:p w14:paraId="22205DB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轿厢称重装置</w:t>
            </w:r>
          </w:p>
        </w:tc>
        <w:tc>
          <w:tcPr>
            <w:tcW w:w="5220" w:type="dxa"/>
            <w:tcBorders>
              <w:top w:val="single" w:color="auto" w:sz="6" w:space="0"/>
              <w:left w:val="single" w:color="auto" w:sz="6" w:space="0"/>
              <w:bottom w:val="single" w:color="auto" w:sz="6" w:space="0"/>
              <w:right w:val="single" w:color="auto" w:sz="12" w:space="0"/>
            </w:tcBorders>
            <w:noWrap/>
            <w:vAlign w:val="center"/>
          </w:tcPr>
          <w:p w14:paraId="5357B21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准确有效</w:t>
            </w:r>
          </w:p>
        </w:tc>
      </w:tr>
      <w:tr w14:paraId="7A0B3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1DED960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420" w:type="dxa"/>
            <w:tcBorders>
              <w:top w:val="single" w:color="auto" w:sz="6" w:space="0"/>
              <w:left w:val="single" w:color="auto" w:sz="6" w:space="0"/>
              <w:bottom w:val="single" w:color="auto" w:sz="6" w:space="0"/>
              <w:right w:val="single" w:color="auto" w:sz="6" w:space="0"/>
            </w:tcBorders>
            <w:vAlign w:val="center"/>
          </w:tcPr>
          <w:p w14:paraId="3DD3339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安全钳钳座</w:t>
            </w:r>
          </w:p>
        </w:tc>
        <w:tc>
          <w:tcPr>
            <w:tcW w:w="5220" w:type="dxa"/>
            <w:tcBorders>
              <w:top w:val="single" w:color="auto" w:sz="6" w:space="0"/>
              <w:left w:val="single" w:color="auto" w:sz="6" w:space="0"/>
              <w:bottom w:val="single" w:color="auto" w:sz="6" w:space="0"/>
              <w:right w:val="single" w:color="auto" w:sz="12" w:space="0"/>
            </w:tcBorders>
            <w:noWrap/>
            <w:vAlign w:val="center"/>
          </w:tcPr>
          <w:p w14:paraId="1E54496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固定，无松动</w:t>
            </w:r>
          </w:p>
        </w:tc>
      </w:tr>
      <w:tr w14:paraId="60CBB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noWrap/>
            <w:vAlign w:val="center"/>
          </w:tcPr>
          <w:p w14:paraId="29189D7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w:t>
            </w:r>
          </w:p>
        </w:tc>
        <w:tc>
          <w:tcPr>
            <w:tcW w:w="3420" w:type="dxa"/>
            <w:tcBorders>
              <w:top w:val="single" w:color="auto" w:sz="6" w:space="0"/>
              <w:left w:val="single" w:color="auto" w:sz="6" w:space="0"/>
              <w:bottom w:val="single" w:color="auto" w:sz="6" w:space="0"/>
              <w:right w:val="single" w:color="auto" w:sz="6" w:space="0"/>
            </w:tcBorders>
            <w:vAlign w:val="center"/>
          </w:tcPr>
          <w:p w14:paraId="6CA3ED2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轿底各安装螺栓</w:t>
            </w:r>
          </w:p>
        </w:tc>
        <w:tc>
          <w:tcPr>
            <w:tcW w:w="5220" w:type="dxa"/>
            <w:tcBorders>
              <w:top w:val="single" w:color="auto" w:sz="6" w:space="0"/>
              <w:left w:val="single" w:color="auto" w:sz="6" w:space="0"/>
              <w:bottom w:val="single" w:color="auto" w:sz="6" w:space="0"/>
              <w:right w:val="single" w:color="auto" w:sz="12" w:space="0"/>
            </w:tcBorders>
            <w:noWrap/>
            <w:vAlign w:val="center"/>
          </w:tcPr>
          <w:p w14:paraId="04DABB5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紧固</w:t>
            </w:r>
          </w:p>
        </w:tc>
      </w:tr>
      <w:tr w14:paraId="3C696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12" w:space="0"/>
              <w:right w:val="single" w:color="auto" w:sz="6" w:space="0"/>
            </w:tcBorders>
            <w:noWrap/>
            <w:vAlign w:val="center"/>
          </w:tcPr>
          <w:p w14:paraId="3CA8B42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w:t>
            </w:r>
          </w:p>
        </w:tc>
        <w:tc>
          <w:tcPr>
            <w:tcW w:w="3420" w:type="dxa"/>
            <w:tcBorders>
              <w:top w:val="single" w:color="auto" w:sz="6" w:space="0"/>
              <w:left w:val="single" w:color="auto" w:sz="6" w:space="0"/>
              <w:bottom w:val="single" w:color="auto" w:sz="12" w:space="0"/>
              <w:right w:val="single" w:color="auto" w:sz="6" w:space="0"/>
            </w:tcBorders>
            <w:vAlign w:val="center"/>
          </w:tcPr>
          <w:p w14:paraId="3FBDE22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缓冲器</w:t>
            </w:r>
          </w:p>
        </w:tc>
        <w:tc>
          <w:tcPr>
            <w:tcW w:w="5220" w:type="dxa"/>
            <w:tcBorders>
              <w:top w:val="single" w:color="auto" w:sz="6" w:space="0"/>
              <w:left w:val="single" w:color="auto" w:sz="6" w:space="0"/>
              <w:bottom w:val="single" w:color="auto" w:sz="12" w:space="0"/>
              <w:right w:val="single" w:color="auto" w:sz="12" w:space="0"/>
            </w:tcBorders>
            <w:noWrap/>
            <w:vAlign w:val="center"/>
          </w:tcPr>
          <w:p w14:paraId="091F9F2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固定，无松动</w:t>
            </w:r>
          </w:p>
        </w:tc>
      </w:tr>
    </w:tbl>
    <w:p w14:paraId="2F984657">
      <w:pPr>
        <w:spacing w:line="360" w:lineRule="auto"/>
        <w:rPr>
          <w:rFonts w:ascii="宋体" w:hAnsi="宋体" w:eastAsia="宋体" w:cs="宋体"/>
          <w:sz w:val="24"/>
          <w:szCs w:val="24"/>
          <w:lang w:eastAsia="zh-CN"/>
        </w:rPr>
      </w:pPr>
    </w:p>
    <w:p w14:paraId="3D7D5D8B">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2.自动扶梯/人行道日常维护保养项目（内容）和要求如下：</w:t>
      </w:r>
    </w:p>
    <w:p w14:paraId="39DA33AB">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表C-1  半月维保项目（内容）和要求</w:t>
      </w:r>
    </w:p>
    <w:tbl>
      <w:tblPr>
        <w:tblStyle w:val="8"/>
        <w:tblW w:w="9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14:paraId="51BCE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noWrap/>
            <w:vAlign w:val="center"/>
          </w:tcPr>
          <w:p w14:paraId="1AAD7C7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14:paraId="7002789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noWrap/>
            <w:vAlign w:val="center"/>
          </w:tcPr>
          <w:p w14:paraId="348E9FF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51D29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65492D6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14:paraId="1F91F6A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电器部件</w:t>
            </w:r>
          </w:p>
        </w:tc>
        <w:tc>
          <w:tcPr>
            <w:tcW w:w="5220" w:type="dxa"/>
            <w:vAlign w:val="center"/>
          </w:tcPr>
          <w:p w14:paraId="3C0C93D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清洁，接线有效</w:t>
            </w:r>
          </w:p>
        </w:tc>
      </w:tr>
      <w:tr w14:paraId="76660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BC1A3F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14:paraId="300D9C9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电子板 </w:t>
            </w:r>
          </w:p>
        </w:tc>
        <w:tc>
          <w:tcPr>
            <w:tcW w:w="5220" w:type="dxa"/>
            <w:vAlign w:val="center"/>
          </w:tcPr>
          <w:p w14:paraId="5A83779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信号功能正常</w:t>
            </w:r>
          </w:p>
        </w:tc>
      </w:tr>
      <w:tr w14:paraId="059FA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DD1805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14:paraId="22DB45F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杂物和垃圾</w:t>
            </w:r>
          </w:p>
        </w:tc>
        <w:tc>
          <w:tcPr>
            <w:tcW w:w="5220" w:type="dxa"/>
            <w:vAlign w:val="center"/>
          </w:tcPr>
          <w:p w14:paraId="646907B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清扫，清洁</w:t>
            </w:r>
          </w:p>
        </w:tc>
      </w:tr>
      <w:tr w14:paraId="4EC54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6A1217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14:paraId="57CF155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设备运行状况</w:t>
            </w:r>
          </w:p>
        </w:tc>
        <w:tc>
          <w:tcPr>
            <w:tcW w:w="5220" w:type="dxa"/>
            <w:vAlign w:val="center"/>
          </w:tcPr>
          <w:p w14:paraId="3B0C824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正常，没有异响和抖动</w:t>
            </w:r>
          </w:p>
        </w:tc>
      </w:tr>
      <w:tr w14:paraId="1050F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F4738E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14:paraId="494F98E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主驱动链</w:t>
            </w:r>
          </w:p>
        </w:tc>
        <w:tc>
          <w:tcPr>
            <w:tcW w:w="5220" w:type="dxa"/>
            <w:vAlign w:val="center"/>
          </w:tcPr>
          <w:p w14:paraId="60DC0B7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运转正常</w:t>
            </w:r>
          </w:p>
        </w:tc>
      </w:tr>
      <w:tr w14:paraId="478FD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C3CE93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14:paraId="151D5F1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制动器机械装置</w:t>
            </w:r>
          </w:p>
        </w:tc>
        <w:tc>
          <w:tcPr>
            <w:tcW w:w="5220" w:type="dxa"/>
            <w:vAlign w:val="center"/>
          </w:tcPr>
          <w:p w14:paraId="7B26546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清洁，动作正常</w:t>
            </w:r>
          </w:p>
        </w:tc>
      </w:tr>
      <w:tr w14:paraId="03E34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232F763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14:paraId="1E7012A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制动检测开关</w:t>
            </w:r>
          </w:p>
        </w:tc>
        <w:tc>
          <w:tcPr>
            <w:tcW w:w="5220" w:type="dxa"/>
            <w:vAlign w:val="center"/>
          </w:tcPr>
          <w:p w14:paraId="7F4D96E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571B9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B95C74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14:paraId="5F5E15D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制动触点</w:t>
            </w:r>
          </w:p>
        </w:tc>
        <w:tc>
          <w:tcPr>
            <w:tcW w:w="5220" w:type="dxa"/>
            <w:vAlign w:val="center"/>
          </w:tcPr>
          <w:p w14:paraId="4BCF2D7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548CA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09B919D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14:paraId="1474DA4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vAlign w:val="center"/>
          </w:tcPr>
          <w:p w14:paraId="7F2FB2B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油量适宜，无渗油</w:t>
            </w:r>
          </w:p>
        </w:tc>
      </w:tr>
      <w:tr w14:paraId="050AE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C76F9C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14:paraId="4428567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电机通风口</w:t>
            </w:r>
          </w:p>
        </w:tc>
        <w:tc>
          <w:tcPr>
            <w:tcW w:w="5220" w:type="dxa"/>
            <w:vAlign w:val="center"/>
          </w:tcPr>
          <w:p w14:paraId="4426AA7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w:t>
            </w:r>
          </w:p>
        </w:tc>
      </w:tr>
      <w:tr w14:paraId="7FF2F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307966B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14:paraId="2E410C3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检修控制装置</w:t>
            </w:r>
          </w:p>
        </w:tc>
        <w:tc>
          <w:tcPr>
            <w:tcW w:w="5220" w:type="dxa"/>
            <w:vAlign w:val="center"/>
          </w:tcPr>
          <w:p w14:paraId="096903D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6727C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7451C9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14:paraId="731450D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自动润滑油罐油位</w:t>
            </w:r>
          </w:p>
        </w:tc>
        <w:tc>
          <w:tcPr>
            <w:tcW w:w="5220" w:type="dxa"/>
            <w:vAlign w:val="center"/>
          </w:tcPr>
          <w:p w14:paraId="05D33B3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油位正常，润滑系统工作正常</w:t>
            </w:r>
          </w:p>
        </w:tc>
      </w:tr>
      <w:tr w14:paraId="5A87C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3BEE028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14:paraId="19EFDF3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梳齿板开关</w:t>
            </w:r>
          </w:p>
        </w:tc>
        <w:tc>
          <w:tcPr>
            <w:tcW w:w="5220" w:type="dxa"/>
            <w:vAlign w:val="center"/>
          </w:tcPr>
          <w:p w14:paraId="355F9FA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749F5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23D83F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w:t>
            </w:r>
          </w:p>
        </w:tc>
        <w:tc>
          <w:tcPr>
            <w:tcW w:w="3420" w:type="dxa"/>
            <w:vAlign w:val="center"/>
          </w:tcPr>
          <w:p w14:paraId="61BDF30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梳齿板照明</w:t>
            </w:r>
          </w:p>
        </w:tc>
        <w:tc>
          <w:tcPr>
            <w:tcW w:w="5220" w:type="dxa"/>
            <w:vAlign w:val="center"/>
          </w:tcPr>
          <w:p w14:paraId="3590A97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照明正常</w:t>
            </w:r>
          </w:p>
        </w:tc>
      </w:tr>
      <w:tr w14:paraId="55C1C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3B231B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w:t>
            </w:r>
          </w:p>
        </w:tc>
        <w:tc>
          <w:tcPr>
            <w:tcW w:w="3420" w:type="dxa"/>
            <w:vAlign w:val="center"/>
          </w:tcPr>
          <w:p w14:paraId="1558DE9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梳齿板梳齿与踏板面齿槽、导向胶带</w:t>
            </w:r>
          </w:p>
        </w:tc>
        <w:tc>
          <w:tcPr>
            <w:tcW w:w="5220" w:type="dxa"/>
            <w:vAlign w:val="center"/>
          </w:tcPr>
          <w:p w14:paraId="0BBEC5F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梳齿板完好无损，梳齿板梳齿与踏板面齿槽、导向胶带啮合正常</w:t>
            </w:r>
          </w:p>
        </w:tc>
      </w:tr>
      <w:tr w14:paraId="7BEFB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6D72747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w:t>
            </w:r>
          </w:p>
        </w:tc>
        <w:tc>
          <w:tcPr>
            <w:tcW w:w="3420" w:type="dxa"/>
            <w:vAlign w:val="center"/>
          </w:tcPr>
          <w:p w14:paraId="0E17A9B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梯级或者踏板下陷开关</w:t>
            </w:r>
          </w:p>
        </w:tc>
        <w:tc>
          <w:tcPr>
            <w:tcW w:w="5220" w:type="dxa"/>
            <w:vAlign w:val="center"/>
          </w:tcPr>
          <w:p w14:paraId="7EA89B9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2555E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AF3B72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w:t>
            </w:r>
          </w:p>
        </w:tc>
        <w:tc>
          <w:tcPr>
            <w:tcW w:w="3420" w:type="dxa"/>
            <w:vAlign w:val="center"/>
          </w:tcPr>
          <w:p w14:paraId="0061626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梯级链张紧开关</w:t>
            </w:r>
          </w:p>
        </w:tc>
        <w:tc>
          <w:tcPr>
            <w:tcW w:w="5220" w:type="dxa"/>
            <w:vAlign w:val="center"/>
          </w:tcPr>
          <w:p w14:paraId="3EB6BC9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位置正确，动作正常</w:t>
            </w:r>
          </w:p>
        </w:tc>
      </w:tr>
      <w:tr w14:paraId="1C316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89CE5E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w:t>
            </w:r>
          </w:p>
        </w:tc>
        <w:tc>
          <w:tcPr>
            <w:tcW w:w="3420" w:type="dxa"/>
            <w:vAlign w:val="center"/>
          </w:tcPr>
          <w:p w14:paraId="540956F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梯身上部三角档板</w:t>
            </w:r>
          </w:p>
        </w:tc>
        <w:tc>
          <w:tcPr>
            <w:tcW w:w="5220" w:type="dxa"/>
            <w:vAlign w:val="center"/>
          </w:tcPr>
          <w:p w14:paraId="4EF2F32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有效，无破损</w:t>
            </w:r>
          </w:p>
        </w:tc>
      </w:tr>
      <w:tr w14:paraId="46CF8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26D5BE3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w:t>
            </w:r>
          </w:p>
        </w:tc>
        <w:tc>
          <w:tcPr>
            <w:tcW w:w="3420" w:type="dxa"/>
            <w:vAlign w:val="center"/>
          </w:tcPr>
          <w:p w14:paraId="7C91531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梯级滚轮和梯级导轨</w:t>
            </w:r>
          </w:p>
        </w:tc>
        <w:tc>
          <w:tcPr>
            <w:tcW w:w="5220" w:type="dxa"/>
            <w:vAlign w:val="center"/>
          </w:tcPr>
          <w:p w14:paraId="313BC79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72D9D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22DA9B5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20</w:t>
            </w:r>
          </w:p>
        </w:tc>
        <w:tc>
          <w:tcPr>
            <w:tcW w:w="3420" w:type="dxa"/>
            <w:vAlign w:val="center"/>
          </w:tcPr>
          <w:p w14:paraId="7516318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梯级、踏板与围裙板</w:t>
            </w:r>
          </w:p>
        </w:tc>
        <w:tc>
          <w:tcPr>
            <w:tcW w:w="5220" w:type="dxa"/>
            <w:vAlign w:val="center"/>
          </w:tcPr>
          <w:p w14:paraId="3B4EEB4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任一侧水平间隙符合标准</w:t>
            </w:r>
          </w:p>
        </w:tc>
      </w:tr>
      <w:tr w14:paraId="6CCE7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0967E53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21</w:t>
            </w:r>
          </w:p>
        </w:tc>
        <w:tc>
          <w:tcPr>
            <w:tcW w:w="3420" w:type="dxa"/>
            <w:vAlign w:val="center"/>
          </w:tcPr>
          <w:p w14:paraId="287D0C0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运行方向显示</w:t>
            </w:r>
          </w:p>
        </w:tc>
        <w:tc>
          <w:tcPr>
            <w:tcW w:w="5220" w:type="dxa"/>
            <w:vAlign w:val="center"/>
          </w:tcPr>
          <w:p w14:paraId="2F6A1F3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522D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32E658F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22</w:t>
            </w:r>
          </w:p>
        </w:tc>
        <w:tc>
          <w:tcPr>
            <w:tcW w:w="3420" w:type="dxa"/>
            <w:vAlign w:val="center"/>
          </w:tcPr>
          <w:p w14:paraId="4F018E9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扶手带入口处保护开关</w:t>
            </w:r>
          </w:p>
        </w:tc>
        <w:tc>
          <w:tcPr>
            <w:tcW w:w="5220" w:type="dxa"/>
            <w:vAlign w:val="center"/>
          </w:tcPr>
          <w:p w14:paraId="7296CED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动作灵活可靠，清除入口处垃圾</w:t>
            </w:r>
          </w:p>
        </w:tc>
      </w:tr>
      <w:tr w14:paraId="6BD83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5CFFCF7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23</w:t>
            </w:r>
          </w:p>
        </w:tc>
        <w:tc>
          <w:tcPr>
            <w:tcW w:w="3420" w:type="dxa"/>
            <w:vAlign w:val="center"/>
          </w:tcPr>
          <w:p w14:paraId="0F458F5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w:t>
            </w:r>
          </w:p>
        </w:tc>
        <w:tc>
          <w:tcPr>
            <w:tcW w:w="5220" w:type="dxa"/>
            <w:vAlign w:val="center"/>
          </w:tcPr>
          <w:p w14:paraId="0C675D3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表面无毛刺，无机械损伤，出入口处居中，运行无摩擦</w:t>
            </w:r>
          </w:p>
        </w:tc>
      </w:tr>
      <w:tr w14:paraId="2C1D1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127FE2D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24</w:t>
            </w:r>
          </w:p>
        </w:tc>
        <w:tc>
          <w:tcPr>
            <w:tcW w:w="3420" w:type="dxa"/>
            <w:tcBorders>
              <w:top w:val="single" w:color="auto" w:sz="6" w:space="0"/>
              <w:left w:val="single" w:color="auto" w:sz="6" w:space="0"/>
              <w:bottom w:val="single" w:color="auto" w:sz="6" w:space="0"/>
              <w:right w:val="single" w:color="auto" w:sz="6" w:space="0"/>
            </w:tcBorders>
            <w:vAlign w:val="center"/>
          </w:tcPr>
          <w:p w14:paraId="72D37C0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扶手带运行</w:t>
            </w:r>
          </w:p>
        </w:tc>
        <w:tc>
          <w:tcPr>
            <w:tcW w:w="5220" w:type="dxa"/>
            <w:tcBorders>
              <w:top w:val="single" w:color="auto" w:sz="6" w:space="0"/>
              <w:left w:val="single" w:color="auto" w:sz="6" w:space="0"/>
              <w:bottom w:val="single" w:color="auto" w:sz="6" w:space="0"/>
              <w:right w:val="single" w:color="auto" w:sz="12" w:space="0"/>
            </w:tcBorders>
            <w:vAlign w:val="center"/>
          </w:tcPr>
          <w:p w14:paraId="79B414F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速度正常</w:t>
            </w:r>
          </w:p>
        </w:tc>
      </w:tr>
      <w:tr w14:paraId="410BF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2BB35F6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25</w:t>
            </w:r>
          </w:p>
        </w:tc>
        <w:tc>
          <w:tcPr>
            <w:tcW w:w="3420" w:type="dxa"/>
            <w:tcBorders>
              <w:top w:val="single" w:color="auto" w:sz="6" w:space="0"/>
              <w:left w:val="single" w:color="auto" w:sz="6" w:space="0"/>
              <w:bottom w:val="single" w:color="auto" w:sz="6" w:space="0"/>
              <w:right w:val="single" w:color="auto" w:sz="6" w:space="0"/>
            </w:tcBorders>
            <w:vAlign w:val="center"/>
          </w:tcPr>
          <w:p w14:paraId="7273580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扶手护壁板</w:t>
            </w:r>
          </w:p>
        </w:tc>
        <w:tc>
          <w:tcPr>
            <w:tcW w:w="5220" w:type="dxa"/>
            <w:tcBorders>
              <w:top w:val="single" w:color="auto" w:sz="6" w:space="0"/>
              <w:left w:val="single" w:color="auto" w:sz="6" w:space="0"/>
              <w:bottom w:val="single" w:color="auto" w:sz="6" w:space="0"/>
              <w:right w:val="single" w:color="auto" w:sz="12" w:space="0"/>
            </w:tcBorders>
            <w:vAlign w:val="center"/>
          </w:tcPr>
          <w:p w14:paraId="57FF929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牢固可靠</w:t>
            </w:r>
          </w:p>
        </w:tc>
      </w:tr>
      <w:tr w14:paraId="54742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010CCC2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26</w:t>
            </w:r>
          </w:p>
        </w:tc>
        <w:tc>
          <w:tcPr>
            <w:tcW w:w="3420" w:type="dxa"/>
            <w:tcBorders>
              <w:top w:val="single" w:color="auto" w:sz="6" w:space="0"/>
              <w:left w:val="single" w:color="auto" w:sz="6" w:space="0"/>
              <w:bottom w:val="single" w:color="auto" w:sz="6" w:space="0"/>
              <w:right w:val="single" w:color="auto" w:sz="6" w:space="0"/>
            </w:tcBorders>
            <w:vAlign w:val="center"/>
          </w:tcPr>
          <w:p w14:paraId="7011B8D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上下出入口处的照明</w:t>
            </w:r>
          </w:p>
        </w:tc>
        <w:tc>
          <w:tcPr>
            <w:tcW w:w="5220" w:type="dxa"/>
            <w:tcBorders>
              <w:top w:val="single" w:color="auto" w:sz="6" w:space="0"/>
              <w:left w:val="single" w:color="auto" w:sz="6" w:space="0"/>
              <w:bottom w:val="single" w:color="auto" w:sz="6" w:space="0"/>
              <w:right w:val="single" w:color="auto" w:sz="12" w:space="0"/>
            </w:tcBorders>
            <w:vAlign w:val="center"/>
          </w:tcPr>
          <w:p w14:paraId="19ED8AE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59CCA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E55005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27</w:t>
            </w:r>
          </w:p>
        </w:tc>
        <w:tc>
          <w:tcPr>
            <w:tcW w:w="3420" w:type="dxa"/>
            <w:tcBorders>
              <w:top w:val="single" w:color="auto" w:sz="6" w:space="0"/>
              <w:left w:val="single" w:color="auto" w:sz="6" w:space="0"/>
              <w:bottom w:val="single" w:color="auto" w:sz="6" w:space="0"/>
              <w:right w:val="single" w:color="auto" w:sz="6" w:space="0"/>
            </w:tcBorders>
            <w:vAlign w:val="center"/>
          </w:tcPr>
          <w:p w14:paraId="11A2C31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上下出入口和扶梯之间保护栏杆</w:t>
            </w:r>
          </w:p>
        </w:tc>
        <w:tc>
          <w:tcPr>
            <w:tcW w:w="5220" w:type="dxa"/>
            <w:tcBorders>
              <w:top w:val="single" w:color="auto" w:sz="6" w:space="0"/>
              <w:left w:val="single" w:color="auto" w:sz="6" w:space="0"/>
              <w:bottom w:val="single" w:color="auto" w:sz="6" w:space="0"/>
              <w:right w:val="single" w:color="auto" w:sz="12" w:space="0"/>
            </w:tcBorders>
            <w:vAlign w:val="center"/>
          </w:tcPr>
          <w:p w14:paraId="3A84958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牢固可靠</w:t>
            </w:r>
          </w:p>
        </w:tc>
      </w:tr>
      <w:tr w14:paraId="408B1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E2EEB7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28</w:t>
            </w:r>
          </w:p>
        </w:tc>
        <w:tc>
          <w:tcPr>
            <w:tcW w:w="3420" w:type="dxa"/>
            <w:tcBorders>
              <w:top w:val="single" w:color="auto" w:sz="6" w:space="0"/>
              <w:left w:val="single" w:color="auto" w:sz="6" w:space="0"/>
              <w:bottom w:val="single" w:color="auto" w:sz="6" w:space="0"/>
              <w:right w:val="single" w:color="auto" w:sz="6" w:space="0"/>
            </w:tcBorders>
            <w:vAlign w:val="center"/>
          </w:tcPr>
          <w:p w14:paraId="18E44CD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出入口安全警示标志</w:t>
            </w:r>
          </w:p>
        </w:tc>
        <w:tc>
          <w:tcPr>
            <w:tcW w:w="5220" w:type="dxa"/>
            <w:tcBorders>
              <w:top w:val="single" w:color="auto" w:sz="6" w:space="0"/>
              <w:left w:val="single" w:color="auto" w:sz="6" w:space="0"/>
              <w:bottom w:val="single" w:color="auto" w:sz="6" w:space="0"/>
              <w:right w:val="single" w:color="auto" w:sz="12" w:space="0"/>
            </w:tcBorders>
            <w:vAlign w:val="center"/>
          </w:tcPr>
          <w:p w14:paraId="0D7CC0C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齐全，醒目</w:t>
            </w:r>
          </w:p>
        </w:tc>
      </w:tr>
      <w:tr w14:paraId="4B46B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5198853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29</w:t>
            </w:r>
          </w:p>
        </w:tc>
        <w:tc>
          <w:tcPr>
            <w:tcW w:w="3420" w:type="dxa"/>
            <w:tcBorders>
              <w:top w:val="single" w:color="auto" w:sz="6" w:space="0"/>
              <w:left w:val="single" w:color="auto" w:sz="6" w:space="0"/>
              <w:bottom w:val="single" w:color="auto" w:sz="6" w:space="0"/>
              <w:right w:val="single" w:color="auto" w:sz="6" w:space="0"/>
            </w:tcBorders>
            <w:vAlign w:val="center"/>
          </w:tcPr>
          <w:p w14:paraId="0211EBF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分离机房、各驱动和转向站</w:t>
            </w:r>
          </w:p>
        </w:tc>
        <w:tc>
          <w:tcPr>
            <w:tcW w:w="5220" w:type="dxa"/>
            <w:tcBorders>
              <w:top w:val="single" w:color="auto" w:sz="6" w:space="0"/>
              <w:left w:val="single" w:color="auto" w:sz="6" w:space="0"/>
              <w:bottom w:val="single" w:color="auto" w:sz="6" w:space="0"/>
              <w:right w:val="single" w:color="auto" w:sz="12" w:space="0"/>
            </w:tcBorders>
            <w:vAlign w:val="center"/>
          </w:tcPr>
          <w:p w14:paraId="0199AB4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清洁，无杂物</w:t>
            </w:r>
          </w:p>
        </w:tc>
      </w:tr>
      <w:tr w14:paraId="21158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B2CDCF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30</w:t>
            </w:r>
          </w:p>
        </w:tc>
        <w:tc>
          <w:tcPr>
            <w:tcW w:w="3420" w:type="dxa"/>
            <w:tcBorders>
              <w:top w:val="single" w:color="auto" w:sz="6" w:space="0"/>
              <w:left w:val="single" w:color="auto" w:sz="6" w:space="0"/>
              <w:bottom w:val="single" w:color="auto" w:sz="6" w:space="0"/>
              <w:right w:val="single" w:color="auto" w:sz="6" w:space="0"/>
            </w:tcBorders>
            <w:vAlign w:val="center"/>
          </w:tcPr>
          <w:p w14:paraId="3E9FC14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自动运行功能</w:t>
            </w:r>
          </w:p>
        </w:tc>
        <w:tc>
          <w:tcPr>
            <w:tcW w:w="5220" w:type="dxa"/>
            <w:tcBorders>
              <w:top w:val="single" w:color="auto" w:sz="6" w:space="0"/>
              <w:left w:val="single" w:color="auto" w:sz="6" w:space="0"/>
              <w:bottom w:val="single" w:color="auto" w:sz="6" w:space="0"/>
              <w:right w:val="single" w:color="auto" w:sz="12" w:space="0"/>
            </w:tcBorders>
            <w:vAlign w:val="center"/>
          </w:tcPr>
          <w:p w14:paraId="1842D7F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31C16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12" w:space="0"/>
              <w:right w:val="single" w:color="auto" w:sz="6" w:space="0"/>
            </w:tcBorders>
            <w:vAlign w:val="center"/>
          </w:tcPr>
          <w:p w14:paraId="1CD8BD4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31</w:t>
            </w:r>
          </w:p>
        </w:tc>
        <w:tc>
          <w:tcPr>
            <w:tcW w:w="3420" w:type="dxa"/>
            <w:tcBorders>
              <w:top w:val="single" w:color="auto" w:sz="6" w:space="0"/>
              <w:left w:val="single" w:color="auto" w:sz="6" w:space="0"/>
              <w:bottom w:val="single" w:color="auto" w:sz="12" w:space="0"/>
              <w:right w:val="single" w:color="auto" w:sz="6" w:space="0"/>
            </w:tcBorders>
            <w:vAlign w:val="center"/>
          </w:tcPr>
          <w:p w14:paraId="7A85591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急停开关</w:t>
            </w:r>
          </w:p>
        </w:tc>
        <w:tc>
          <w:tcPr>
            <w:tcW w:w="5220" w:type="dxa"/>
            <w:tcBorders>
              <w:top w:val="single" w:color="auto" w:sz="6" w:space="0"/>
              <w:left w:val="single" w:color="auto" w:sz="6" w:space="0"/>
              <w:bottom w:val="single" w:color="auto" w:sz="12" w:space="0"/>
              <w:right w:val="single" w:color="auto" w:sz="12" w:space="0"/>
            </w:tcBorders>
            <w:vAlign w:val="center"/>
          </w:tcPr>
          <w:p w14:paraId="0F59D90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bl>
    <w:p w14:paraId="65C58C5A">
      <w:pPr>
        <w:pStyle w:val="3"/>
        <w:spacing w:before="78" w:line="360" w:lineRule="auto"/>
        <w:ind w:firstLine="240" w:firstLineChars="100"/>
        <w:rPr>
          <w:rFonts w:ascii="仿宋" w:hAnsi="仿宋" w:eastAsia="仿宋" w:cs="仿宋"/>
          <w:kern w:val="2"/>
          <w:lang w:eastAsia="zh-CN"/>
        </w:rPr>
      </w:pPr>
    </w:p>
    <w:p w14:paraId="1C8CB542">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表C-2  季度维保项目（内容）和要求 &lt;含半月维保项目&gt;</w:t>
      </w:r>
    </w:p>
    <w:tbl>
      <w:tblPr>
        <w:tblStyle w:val="8"/>
        <w:tblW w:w="9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14:paraId="794AC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29D51BA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14:paraId="12FFF2C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14:paraId="131C887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5A2B8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8282FD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14:paraId="7ED645C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扶手带的运行速度</w:t>
            </w:r>
          </w:p>
        </w:tc>
        <w:tc>
          <w:tcPr>
            <w:tcW w:w="5220" w:type="dxa"/>
            <w:vAlign w:val="center"/>
          </w:tcPr>
          <w:p w14:paraId="362B10F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相对于梯级、踏板或者胶带的速度允差为0～＋2％</w:t>
            </w:r>
          </w:p>
        </w:tc>
      </w:tr>
      <w:tr w14:paraId="19120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7A45C2A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14:paraId="0BCD7E9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梯级链张紧装置</w:t>
            </w:r>
          </w:p>
        </w:tc>
        <w:tc>
          <w:tcPr>
            <w:tcW w:w="5220" w:type="dxa"/>
            <w:vAlign w:val="center"/>
          </w:tcPr>
          <w:p w14:paraId="1D18C2E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639DC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691619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14:paraId="5DB0FCF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梯级轴衬</w:t>
            </w:r>
          </w:p>
        </w:tc>
        <w:tc>
          <w:tcPr>
            <w:tcW w:w="5220" w:type="dxa"/>
            <w:vAlign w:val="center"/>
          </w:tcPr>
          <w:p w14:paraId="465312C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润滑有效</w:t>
            </w:r>
          </w:p>
        </w:tc>
      </w:tr>
      <w:tr w14:paraId="33AE7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3CF83A3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14:paraId="69B3449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梯级链润滑</w:t>
            </w:r>
          </w:p>
        </w:tc>
        <w:tc>
          <w:tcPr>
            <w:tcW w:w="5220" w:type="dxa"/>
            <w:vAlign w:val="center"/>
          </w:tcPr>
          <w:p w14:paraId="16FC497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运行工况正常</w:t>
            </w:r>
          </w:p>
        </w:tc>
      </w:tr>
      <w:tr w14:paraId="71360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14C28A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14:paraId="10329E2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防灌水保护装置</w:t>
            </w:r>
          </w:p>
        </w:tc>
        <w:tc>
          <w:tcPr>
            <w:tcW w:w="5220" w:type="dxa"/>
            <w:vAlign w:val="center"/>
          </w:tcPr>
          <w:p w14:paraId="1BC0A0C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动作可靠（雨季到来之前必须完成）</w:t>
            </w:r>
          </w:p>
        </w:tc>
      </w:tr>
    </w:tbl>
    <w:p w14:paraId="0D49EA3A">
      <w:pPr>
        <w:pStyle w:val="3"/>
        <w:spacing w:before="78" w:line="360" w:lineRule="auto"/>
        <w:ind w:firstLine="240" w:firstLineChars="100"/>
        <w:rPr>
          <w:rFonts w:ascii="仿宋" w:hAnsi="仿宋" w:eastAsia="仿宋" w:cs="仿宋"/>
          <w:kern w:val="2"/>
          <w:lang w:eastAsia="zh-CN"/>
        </w:rPr>
      </w:pPr>
    </w:p>
    <w:p w14:paraId="00826D72">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表C-3  半年维保项目（内容）和要求 &lt;含半月及季度维保项目&gt;</w:t>
      </w:r>
    </w:p>
    <w:tbl>
      <w:tblPr>
        <w:tblStyle w:val="8"/>
        <w:tblW w:w="9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3369"/>
        <w:gridCol w:w="5220"/>
      </w:tblGrid>
      <w:tr w14:paraId="7C3E2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vAlign w:val="center"/>
          </w:tcPr>
          <w:p w14:paraId="2557EE8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369" w:type="dxa"/>
            <w:vAlign w:val="center"/>
          </w:tcPr>
          <w:p w14:paraId="5997259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14:paraId="073B469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6BECC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vAlign w:val="center"/>
          </w:tcPr>
          <w:p w14:paraId="7400371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369" w:type="dxa"/>
            <w:vAlign w:val="center"/>
          </w:tcPr>
          <w:p w14:paraId="1F8293C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制动衬厚度</w:t>
            </w:r>
          </w:p>
        </w:tc>
        <w:tc>
          <w:tcPr>
            <w:tcW w:w="5220" w:type="dxa"/>
            <w:vAlign w:val="center"/>
          </w:tcPr>
          <w:p w14:paraId="39DEDE9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不小于制造单位要求</w:t>
            </w:r>
          </w:p>
        </w:tc>
      </w:tr>
      <w:tr w14:paraId="7D8B2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vAlign w:val="center"/>
          </w:tcPr>
          <w:p w14:paraId="210CDB1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369" w:type="dxa"/>
            <w:vAlign w:val="center"/>
          </w:tcPr>
          <w:p w14:paraId="6D2CA2D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主驱动链</w:t>
            </w:r>
          </w:p>
        </w:tc>
        <w:tc>
          <w:tcPr>
            <w:tcW w:w="5220" w:type="dxa"/>
            <w:vAlign w:val="center"/>
          </w:tcPr>
          <w:p w14:paraId="6E110BD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清理表面油污，润滑</w:t>
            </w:r>
          </w:p>
        </w:tc>
      </w:tr>
      <w:tr w14:paraId="3A27F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vAlign w:val="center"/>
          </w:tcPr>
          <w:p w14:paraId="4791A6D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369" w:type="dxa"/>
            <w:vAlign w:val="center"/>
          </w:tcPr>
          <w:p w14:paraId="7AC636D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主驱动链链条滑块</w:t>
            </w:r>
          </w:p>
        </w:tc>
        <w:tc>
          <w:tcPr>
            <w:tcW w:w="5220" w:type="dxa"/>
            <w:vAlign w:val="center"/>
          </w:tcPr>
          <w:p w14:paraId="781A2EB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清洁，厚度符合标准</w:t>
            </w:r>
          </w:p>
        </w:tc>
      </w:tr>
      <w:tr w14:paraId="7C2EE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vAlign w:val="center"/>
          </w:tcPr>
          <w:p w14:paraId="4A62320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369" w:type="dxa"/>
            <w:vAlign w:val="center"/>
          </w:tcPr>
          <w:p w14:paraId="2D9CDBB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空载向下运行制动距离</w:t>
            </w:r>
          </w:p>
        </w:tc>
        <w:tc>
          <w:tcPr>
            <w:tcW w:w="5220" w:type="dxa"/>
            <w:vAlign w:val="center"/>
          </w:tcPr>
          <w:p w14:paraId="55A9F33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14:paraId="24F66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14:paraId="131B7C0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369" w:type="dxa"/>
            <w:tcBorders>
              <w:top w:val="single" w:color="auto" w:sz="6" w:space="0"/>
              <w:left w:val="single" w:color="auto" w:sz="6" w:space="0"/>
              <w:bottom w:val="single" w:color="auto" w:sz="6" w:space="0"/>
              <w:right w:val="single" w:color="auto" w:sz="6" w:space="0"/>
            </w:tcBorders>
            <w:vAlign w:val="center"/>
          </w:tcPr>
          <w:p w14:paraId="58CF464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制动器机械装置</w:t>
            </w:r>
          </w:p>
        </w:tc>
        <w:tc>
          <w:tcPr>
            <w:tcW w:w="5220" w:type="dxa"/>
            <w:tcBorders>
              <w:top w:val="single" w:color="auto" w:sz="6" w:space="0"/>
              <w:left w:val="single" w:color="auto" w:sz="6" w:space="0"/>
              <w:bottom w:val="single" w:color="auto" w:sz="6" w:space="0"/>
              <w:right w:val="single" w:color="auto" w:sz="12" w:space="0"/>
            </w:tcBorders>
            <w:vAlign w:val="center"/>
          </w:tcPr>
          <w:p w14:paraId="7D50546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润滑，工作有效</w:t>
            </w:r>
          </w:p>
        </w:tc>
      </w:tr>
      <w:tr w14:paraId="288D1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14:paraId="65D9A1B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369" w:type="dxa"/>
            <w:tcBorders>
              <w:top w:val="single" w:color="auto" w:sz="6" w:space="0"/>
              <w:left w:val="single" w:color="auto" w:sz="6" w:space="0"/>
              <w:bottom w:val="single" w:color="auto" w:sz="6" w:space="0"/>
              <w:right w:val="single" w:color="auto" w:sz="6" w:space="0"/>
            </w:tcBorders>
            <w:vAlign w:val="center"/>
          </w:tcPr>
          <w:p w14:paraId="2F5EDF0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附加制动器</w:t>
            </w:r>
          </w:p>
        </w:tc>
        <w:tc>
          <w:tcPr>
            <w:tcW w:w="5220" w:type="dxa"/>
            <w:tcBorders>
              <w:top w:val="single" w:color="auto" w:sz="6" w:space="0"/>
              <w:left w:val="single" w:color="auto" w:sz="6" w:space="0"/>
              <w:bottom w:val="single" w:color="auto" w:sz="6" w:space="0"/>
              <w:right w:val="single" w:color="auto" w:sz="12" w:space="0"/>
            </w:tcBorders>
            <w:vAlign w:val="center"/>
          </w:tcPr>
          <w:p w14:paraId="63053E3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清洁和润滑，功能可靠</w:t>
            </w:r>
          </w:p>
        </w:tc>
      </w:tr>
      <w:tr w14:paraId="50931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14:paraId="180B250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369" w:type="dxa"/>
            <w:tcBorders>
              <w:top w:val="single" w:color="auto" w:sz="6" w:space="0"/>
              <w:left w:val="single" w:color="auto" w:sz="6" w:space="0"/>
              <w:bottom w:val="single" w:color="auto" w:sz="6" w:space="0"/>
              <w:right w:val="single" w:color="auto" w:sz="6" w:space="0"/>
            </w:tcBorders>
            <w:vAlign w:val="center"/>
          </w:tcPr>
          <w:p w14:paraId="1042618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减速机润滑油</w:t>
            </w:r>
          </w:p>
        </w:tc>
        <w:tc>
          <w:tcPr>
            <w:tcW w:w="5220" w:type="dxa"/>
            <w:tcBorders>
              <w:top w:val="single" w:color="auto" w:sz="6" w:space="0"/>
              <w:left w:val="single" w:color="auto" w:sz="6" w:space="0"/>
              <w:bottom w:val="single" w:color="auto" w:sz="6" w:space="0"/>
              <w:right w:val="single" w:color="auto" w:sz="12" w:space="0"/>
            </w:tcBorders>
            <w:vAlign w:val="center"/>
          </w:tcPr>
          <w:p w14:paraId="6CB02E6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更换，符合制造单位的要求</w:t>
            </w:r>
          </w:p>
        </w:tc>
      </w:tr>
      <w:tr w14:paraId="3C57B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14:paraId="620354B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369" w:type="dxa"/>
            <w:tcBorders>
              <w:top w:val="single" w:color="auto" w:sz="6" w:space="0"/>
              <w:left w:val="single" w:color="auto" w:sz="6" w:space="0"/>
              <w:bottom w:val="single" w:color="auto" w:sz="6" w:space="0"/>
              <w:right w:val="single" w:color="auto" w:sz="6" w:space="0"/>
            </w:tcBorders>
            <w:vAlign w:val="center"/>
          </w:tcPr>
          <w:p w14:paraId="1AE4769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调整梳齿板梳齿与踏板面齿槽啮合深度和间隙</w:t>
            </w:r>
          </w:p>
        </w:tc>
        <w:tc>
          <w:tcPr>
            <w:tcW w:w="5220" w:type="dxa"/>
            <w:tcBorders>
              <w:top w:val="single" w:color="auto" w:sz="6" w:space="0"/>
              <w:left w:val="single" w:color="auto" w:sz="6" w:space="0"/>
              <w:bottom w:val="single" w:color="auto" w:sz="6" w:space="0"/>
              <w:right w:val="single" w:color="auto" w:sz="12" w:space="0"/>
            </w:tcBorders>
            <w:vAlign w:val="center"/>
          </w:tcPr>
          <w:p w14:paraId="13BDB09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14:paraId="423E6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14:paraId="480D952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369" w:type="dxa"/>
            <w:tcBorders>
              <w:top w:val="single" w:color="auto" w:sz="6" w:space="0"/>
              <w:left w:val="single" w:color="auto" w:sz="6" w:space="0"/>
              <w:bottom w:val="single" w:color="auto" w:sz="6" w:space="0"/>
              <w:right w:val="single" w:color="auto" w:sz="6" w:space="0"/>
            </w:tcBorders>
            <w:vAlign w:val="center"/>
          </w:tcPr>
          <w:p w14:paraId="692CEF9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扶手带张紧度张紧弹簧负荷长度</w:t>
            </w:r>
          </w:p>
        </w:tc>
        <w:tc>
          <w:tcPr>
            <w:tcW w:w="5220" w:type="dxa"/>
            <w:tcBorders>
              <w:top w:val="single" w:color="auto" w:sz="6" w:space="0"/>
              <w:left w:val="single" w:color="auto" w:sz="6" w:space="0"/>
              <w:bottom w:val="single" w:color="auto" w:sz="6" w:space="0"/>
              <w:right w:val="single" w:color="auto" w:sz="12" w:space="0"/>
            </w:tcBorders>
            <w:vAlign w:val="center"/>
          </w:tcPr>
          <w:p w14:paraId="66E35C50">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14:paraId="5268A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6" w:space="0"/>
              <w:right w:val="single" w:color="auto" w:sz="6" w:space="0"/>
            </w:tcBorders>
            <w:vAlign w:val="center"/>
          </w:tcPr>
          <w:p w14:paraId="5050515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369" w:type="dxa"/>
            <w:tcBorders>
              <w:top w:val="single" w:color="auto" w:sz="6" w:space="0"/>
              <w:left w:val="single" w:color="auto" w:sz="6" w:space="0"/>
              <w:bottom w:val="single" w:color="auto" w:sz="6" w:space="0"/>
              <w:right w:val="single" w:color="auto" w:sz="6" w:space="0"/>
            </w:tcBorders>
            <w:vAlign w:val="center"/>
          </w:tcPr>
          <w:p w14:paraId="6C7D324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扶手带速度监控器系统</w:t>
            </w:r>
          </w:p>
        </w:tc>
        <w:tc>
          <w:tcPr>
            <w:tcW w:w="5220" w:type="dxa"/>
            <w:tcBorders>
              <w:top w:val="single" w:color="auto" w:sz="6" w:space="0"/>
              <w:left w:val="single" w:color="auto" w:sz="6" w:space="0"/>
              <w:bottom w:val="single" w:color="auto" w:sz="6" w:space="0"/>
              <w:right w:val="single" w:color="auto" w:sz="12" w:space="0"/>
            </w:tcBorders>
            <w:vAlign w:val="center"/>
          </w:tcPr>
          <w:p w14:paraId="57055D7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工作正常</w:t>
            </w:r>
          </w:p>
        </w:tc>
      </w:tr>
      <w:tr w14:paraId="14773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66" w:type="dxa"/>
            <w:tcBorders>
              <w:top w:val="single" w:color="auto" w:sz="6" w:space="0"/>
              <w:left w:val="single" w:color="auto" w:sz="12" w:space="0"/>
              <w:bottom w:val="single" w:color="auto" w:sz="12" w:space="0"/>
              <w:right w:val="single" w:color="auto" w:sz="6" w:space="0"/>
            </w:tcBorders>
            <w:vAlign w:val="center"/>
          </w:tcPr>
          <w:p w14:paraId="44D8264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369" w:type="dxa"/>
            <w:tcBorders>
              <w:top w:val="single" w:color="auto" w:sz="6" w:space="0"/>
              <w:left w:val="single" w:color="auto" w:sz="6" w:space="0"/>
              <w:bottom w:val="single" w:color="auto" w:sz="12" w:space="0"/>
              <w:right w:val="single" w:color="auto" w:sz="6" w:space="0"/>
            </w:tcBorders>
            <w:vAlign w:val="center"/>
          </w:tcPr>
          <w:p w14:paraId="21B0566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梯级踏板加热装置</w:t>
            </w:r>
          </w:p>
        </w:tc>
        <w:tc>
          <w:tcPr>
            <w:tcW w:w="5220" w:type="dxa"/>
            <w:tcBorders>
              <w:top w:val="single" w:color="auto" w:sz="6" w:space="0"/>
              <w:left w:val="single" w:color="auto" w:sz="6" w:space="0"/>
              <w:bottom w:val="single" w:color="auto" w:sz="12" w:space="0"/>
              <w:right w:val="single" w:color="auto" w:sz="12" w:space="0"/>
            </w:tcBorders>
            <w:vAlign w:val="center"/>
          </w:tcPr>
          <w:p w14:paraId="2C9DA3E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功能正常，温度感应器接线牢固（冬季到来之前必须完成）</w:t>
            </w:r>
          </w:p>
        </w:tc>
      </w:tr>
    </w:tbl>
    <w:p w14:paraId="77E1C883">
      <w:pPr>
        <w:pStyle w:val="3"/>
        <w:spacing w:before="78" w:line="360" w:lineRule="auto"/>
        <w:ind w:firstLine="240" w:firstLineChars="100"/>
        <w:rPr>
          <w:rFonts w:ascii="仿宋" w:hAnsi="仿宋" w:eastAsia="仿宋" w:cs="仿宋"/>
          <w:kern w:val="2"/>
          <w:lang w:eastAsia="zh-CN"/>
        </w:rPr>
      </w:pPr>
    </w:p>
    <w:p w14:paraId="090A57E9">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表C-4  年度维保项目（内容）和要求 &lt;含半月、季度及半年维保项目&gt;</w:t>
      </w:r>
    </w:p>
    <w:tbl>
      <w:tblPr>
        <w:tblStyle w:val="8"/>
        <w:tblW w:w="93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20"/>
      </w:tblGrid>
      <w:tr w14:paraId="47559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4ECD2E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序号</w:t>
            </w:r>
          </w:p>
        </w:tc>
        <w:tc>
          <w:tcPr>
            <w:tcW w:w="3420" w:type="dxa"/>
            <w:vAlign w:val="center"/>
          </w:tcPr>
          <w:p w14:paraId="2D5BAA3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维保项目（内容）</w:t>
            </w:r>
          </w:p>
        </w:tc>
        <w:tc>
          <w:tcPr>
            <w:tcW w:w="5220" w:type="dxa"/>
            <w:vAlign w:val="center"/>
          </w:tcPr>
          <w:p w14:paraId="4263336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维保基本要求</w:t>
            </w:r>
          </w:p>
        </w:tc>
      </w:tr>
      <w:tr w14:paraId="759C4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6C5BFE6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w:t>
            </w:r>
          </w:p>
        </w:tc>
        <w:tc>
          <w:tcPr>
            <w:tcW w:w="3420" w:type="dxa"/>
            <w:vAlign w:val="center"/>
          </w:tcPr>
          <w:p w14:paraId="3EFEAA62">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主接触器 </w:t>
            </w:r>
          </w:p>
        </w:tc>
        <w:tc>
          <w:tcPr>
            <w:tcW w:w="5220" w:type="dxa"/>
            <w:vAlign w:val="center"/>
          </w:tcPr>
          <w:p w14:paraId="18663DA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工作可靠</w:t>
            </w:r>
          </w:p>
        </w:tc>
      </w:tr>
      <w:tr w14:paraId="59E6F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BAF5BF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p>
        </w:tc>
        <w:tc>
          <w:tcPr>
            <w:tcW w:w="3420" w:type="dxa"/>
            <w:vAlign w:val="center"/>
          </w:tcPr>
          <w:p w14:paraId="5175290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主机速度检测功能</w:t>
            </w:r>
          </w:p>
        </w:tc>
        <w:tc>
          <w:tcPr>
            <w:tcW w:w="5220" w:type="dxa"/>
            <w:vAlign w:val="center"/>
          </w:tcPr>
          <w:p w14:paraId="67D01C6A">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功能可靠，清洁感应面，感应间隙符合制造单位要求</w:t>
            </w:r>
          </w:p>
        </w:tc>
      </w:tr>
      <w:tr w14:paraId="43A40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6523B2F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420" w:type="dxa"/>
            <w:vAlign w:val="center"/>
          </w:tcPr>
          <w:p w14:paraId="0AB3291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电缆</w:t>
            </w:r>
          </w:p>
        </w:tc>
        <w:tc>
          <w:tcPr>
            <w:tcW w:w="5220" w:type="dxa"/>
            <w:vAlign w:val="center"/>
          </w:tcPr>
          <w:p w14:paraId="540283C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无破损，固定牢固</w:t>
            </w:r>
          </w:p>
        </w:tc>
      </w:tr>
      <w:tr w14:paraId="609A7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ABBB0D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420" w:type="dxa"/>
            <w:vAlign w:val="center"/>
          </w:tcPr>
          <w:p w14:paraId="0AA4B9F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扶手带托轮、滑轮群、防静电轮</w:t>
            </w:r>
          </w:p>
        </w:tc>
        <w:tc>
          <w:tcPr>
            <w:tcW w:w="5220" w:type="dxa"/>
            <w:vAlign w:val="center"/>
          </w:tcPr>
          <w:p w14:paraId="4392BDE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清洁，无损伤，托轮转动平滑</w:t>
            </w:r>
          </w:p>
        </w:tc>
      </w:tr>
      <w:tr w14:paraId="24013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0D3D4C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420" w:type="dxa"/>
            <w:vAlign w:val="center"/>
          </w:tcPr>
          <w:p w14:paraId="652916B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扶手带内侧凸缘处</w:t>
            </w:r>
          </w:p>
        </w:tc>
        <w:tc>
          <w:tcPr>
            <w:tcW w:w="5220" w:type="dxa"/>
            <w:vAlign w:val="center"/>
          </w:tcPr>
          <w:p w14:paraId="03F260D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无损伤，清洁扶手导轨滑动面</w:t>
            </w:r>
          </w:p>
        </w:tc>
      </w:tr>
      <w:tr w14:paraId="3A446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2B308D4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420" w:type="dxa"/>
            <w:vAlign w:val="center"/>
          </w:tcPr>
          <w:p w14:paraId="1031186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扶手带断带保护开关</w:t>
            </w:r>
          </w:p>
        </w:tc>
        <w:tc>
          <w:tcPr>
            <w:tcW w:w="5220" w:type="dxa"/>
            <w:vAlign w:val="center"/>
          </w:tcPr>
          <w:p w14:paraId="162B468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功能正常</w:t>
            </w:r>
          </w:p>
        </w:tc>
      </w:tr>
      <w:tr w14:paraId="0C81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4C72A92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w:t>
            </w:r>
          </w:p>
        </w:tc>
        <w:tc>
          <w:tcPr>
            <w:tcW w:w="3420" w:type="dxa"/>
            <w:vAlign w:val="center"/>
          </w:tcPr>
          <w:p w14:paraId="3FFA3BB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扶手带导向块和导向轮</w:t>
            </w:r>
          </w:p>
        </w:tc>
        <w:tc>
          <w:tcPr>
            <w:tcW w:w="5220" w:type="dxa"/>
            <w:vAlign w:val="center"/>
          </w:tcPr>
          <w:p w14:paraId="1D55B563">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清洁，工作正常</w:t>
            </w:r>
          </w:p>
        </w:tc>
      </w:tr>
      <w:tr w14:paraId="5F706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3C702DD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w:t>
            </w:r>
          </w:p>
        </w:tc>
        <w:tc>
          <w:tcPr>
            <w:tcW w:w="3420" w:type="dxa"/>
            <w:vAlign w:val="center"/>
          </w:tcPr>
          <w:p w14:paraId="27B58446">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在进入梳齿板处的梯级与导轮的轴向窜动量</w:t>
            </w:r>
          </w:p>
        </w:tc>
        <w:tc>
          <w:tcPr>
            <w:tcW w:w="5220" w:type="dxa"/>
            <w:vAlign w:val="center"/>
          </w:tcPr>
          <w:p w14:paraId="08DEA1FC">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符合标准</w:t>
            </w:r>
          </w:p>
        </w:tc>
      </w:tr>
      <w:tr w14:paraId="3B0C2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7E1075BD">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w:t>
            </w:r>
          </w:p>
        </w:tc>
        <w:tc>
          <w:tcPr>
            <w:tcW w:w="3420" w:type="dxa"/>
            <w:vAlign w:val="center"/>
          </w:tcPr>
          <w:p w14:paraId="7CB24238">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内外盖板连接</w:t>
            </w:r>
          </w:p>
        </w:tc>
        <w:tc>
          <w:tcPr>
            <w:tcW w:w="5220" w:type="dxa"/>
            <w:vAlign w:val="center"/>
          </w:tcPr>
          <w:p w14:paraId="00104B49">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紧密牢固，连接处的凸台、缝隙符合标准</w:t>
            </w:r>
          </w:p>
        </w:tc>
      </w:tr>
      <w:tr w14:paraId="31282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10D61D9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w:t>
            </w:r>
          </w:p>
        </w:tc>
        <w:tc>
          <w:tcPr>
            <w:tcW w:w="3420" w:type="dxa"/>
            <w:vAlign w:val="center"/>
          </w:tcPr>
          <w:p w14:paraId="015FB73B">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围裙板安全开关</w:t>
            </w:r>
          </w:p>
        </w:tc>
        <w:tc>
          <w:tcPr>
            <w:tcW w:w="5220" w:type="dxa"/>
            <w:vAlign w:val="center"/>
          </w:tcPr>
          <w:p w14:paraId="30223D6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测试有效</w:t>
            </w:r>
          </w:p>
        </w:tc>
      </w:tr>
      <w:tr w14:paraId="5B7D6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09A3AC3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w:t>
            </w:r>
          </w:p>
        </w:tc>
        <w:tc>
          <w:tcPr>
            <w:tcW w:w="3420" w:type="dxa"/>
            <w:vAlign w:val="center"/>
          </w:tcPr>
          <w:p w14:paraId="698C07E4">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围裙板对接处</w:t>
            </w:r>
          </w:p>
        </w:tc>
        <w:tc>
          <w:tcPr>
            <w:tcW w:w="5220" w:type="dxa"/>
            <w:vAlign w:val="center"/>
          </w:tcPr>
          <w:p w14:paraId="3FEDC2E1">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紧密平滑</w:t>
            </w:r>
          </w:p>
        </w:tc>
      </w:tr>
      <w:tr w14:paraId="27E34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24CF87CE">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w:t>
            </w:r>
          </w:p>
        </w:tc>
        <w:tc>
          <w:tcPr>
            <w:tcW w:w="3420" w:type="dxa"/>
            <w:vAlign w:val="center"/>
          </w:tcPr>
          <w:p w14:paraId="62C1BA3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电气安全装置</w:t>
            </w:r>
          </w:p>
        </w:tc>
        <w:tc>
          <w:tcPr>
            <w:tcW w:w="5220" w:type="dxa"/>
            <w:vAlign w:val="center"/>
          </w:tcPr>
          <w:p w14:paraId="4B31E20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动作可靠</w:t>
            </w:r>
          </w:p>
        </w:tc>
      </w:tr>
      <w:tr w14:paraId="4CA0E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vAlign w:val="center"/>
          </w:tcPr>
          <w:p w14:paraId="73AD394F">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w:t>
            </w:r>
          </w:p>
        </w:tc>
        <w:tc>
          <w:tcPr>
            <w:tcW w:w="3420" w:type="dxa"/>
            <w:vAlign w:val="center"/>
          </w:tcPr>
          <w:p w14:paraId="5E89FC55">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设备运行状况</w:t>
            </w:r>
          </w:p>
        </w:tc>
        <w:tc>
          <w:tcPr>
            <w:tcW w:w="5220" w:type="dxa"/>
            <w:vAlign w:val="center"/>
          </w:tcPr>
          <w:p w14:paraId="5B36D8C7">
            <w:pPr>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正常，梯级运行平稳，无异常抖动，无异响</w:t>
            </w:r>
          </w:p>
        </w:tc>
      </w:tr>
    </w:tbl>
    <w:p w14:paraId="26092436">
      <w:pPr>
        <w:pStyle w:val="3"/>
        <w:spacing w:before="78" w:line="360" w:lineRule="auto"/>
        <w:ind w:left="405"/>
        <w:outlineLvl w:val="0"/>
        <w:rPr>
          <w:b/>
          <w:bCs/>
          <w:spacing w:val="-3"/>
          <w:lang w:eastAsia="zh-CN"/>
        </w:rPr>
      </w:pPr>
    </w:p>
    <w:p w14:paraId="68E88D05">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五、技术服务要求</w:t>
      </w:r>
    </w:p>
    <w:p w14:paraId="79B746B3">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 xml:space="preserve">1、按照国家规定，中标人派出维保专业人员对上述设备定期的例行保养工作，中标人发现有可能损害或影响电梯运行安全或质量的因素时，应立即向采购人报告并提供整改方案。 </w:t>
      </w:r>
    </w:p>
    <w:p w14:paraId="48EB9537">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中标人负责协助电、扶梯的政府定期检验工作，政府电梯定期检验费用由采购人承担。国家有关安全标准的法律规定发生改变时，中标人应及时书面通知采购人，并为采购人进行此安全设备的安装、调试工作，使其符合新的安全标准,相关人工、材料费用由采购人承担。</w:t>
      </w:r>
    </w:p>
    <w:p w14:paraId="25AEDF1C">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3、中标人派出维保专业人员对上述设备进行例行维保检查，其中包括对设备机件的安全及功能清洁、调整、检查及润滑，但不负责保持、修理及更换轿厢、外厅及扶梯等外围设备的外观及卫生。若由于中标人在维保工作过程中损坏上述部位之外观时，中标人有义务修复,且不另行收费。</w:t>
      </w:r>
    </w:p>
    <w:p w14:paraId="74AF6E15">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4、全年365天，每日24小时全天候响应电梯服务工作，确保其安全、稳定运行。</w:t>
      </w:r>
    </w:p>
    <w:p w14:paraId="5607D5AB">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5、售后服务的作业时间在采购人指定的时间内进行（包括晚上），确保不影响采购人的正常使用。</w:t>
      </w:r>
    </w:p>
    <w:p w14:paraId="34A7EA2B">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6、负责办理上述设备的年检手续，并确保其一次通过政府主管部门的验收。</w:t>
      </w:r>
    </w:p>
    <w:p w14:paraId="7621AE3E">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7、建立“用户 ”电梯专用档案。</w:t>
      </w:r>
    </w:p>
    <w:p w14:paraId="4233CCE5">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8、每月月底向采购人提供下个月的保养计划，并按计划对相应设备进行有效的维护，每月上旬向采购人提供上月的维修保养工作报告。</w:t>
      </w:r>
    </w:p>
    <w:p w14:paraId="02CBD417">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六、维修、维护以及技术人员要求</w:t>
      </w:r>
    </w:p>
    <w:p w14:paraId="47AC1F32">
      <w:pPr>
        <w:pStyle w:val="3"/>
        <w:spacing w:before="78" w:line="360" w:lineRule="auto"/>
        <w:ind w:firstLine="240" w:firstLineChars="100"/>
        <w:rPr>
          <w:rFonts w:ascii="仿宋" w:hAnsi="仿宋" w:eastAsia="仿宋" w:cs="仿宋"/>
          <w:kern w:val="2"/>
          <w:lang w:eastAsia="zh-CN"/>
        </w:rPr>
      </w:pPr>
      <w:bookmarkStart w:id="4" w:name="OLE_LINK13"/>
      <w:r>
        <w:rPr>
          <w:rFonts w:hint="eastAsia" w:ascii="仿宋" w:hAnsi="仿宋" w:eastAsia="仿宋" w:cs="仿宋"/>
          <w:kern w:val="2"/>
          <w:lang w:eastAsia="zh-CN"/>
        </w:rPr>
        <w:t>1、</w:t>
      </w:r>
      <w:bookmarkEnd w:id="4"/>
      <w:r>
        <w:rPr>
          <w:rFonts w:hint="eastAsia" w:ascii="仿宋" w:hAnsi="仿宋" w:eastAsia="仿宋" w:cs="仿宋"/>
          <w:kern w:val="2"/>
          <w:lang w:eastAsia="zh-CN"/>
        </w:rPr>
        <w:t>常年至少为医院配备5名（增城院区合计2名、珠江新城院区和白云院区合计2名、儿童院区和妇婴院区合计1名）持有《中华人民共和国特种设备作业人员证》（作业项目代号：T或T1或T2）的专业技术人员驻场。以满足7*24小时服务要求，并需遵守采购人的相关规章制度。中标人的值班救援人员须持有相应的《中华人民共和国特种设备作业人员证》（作业项目代号：T或T1或T2），具备相应的技术水平，并具备24小时接待电梯报修服务的能力。</w:t>
      </w:r>
    </w:p>
    <w:p w14:paraId="053D1CAA">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中标人提供全天24小时紧急维修服务。采购人一旦发现维保设备出现故障或异常运行情况，须立即拨打服务热线通知中标人，以便其迅速派遣合格人员进行处理。中标人承诺，在接到采购人通知后，将在30分钟内抵达现场排除故障。若故障导致乘客被困于设备内，中标人保证在接到采购人通知后，10分钟内到达现场进行紧急处理。</w:t>
      </w:r>
    </w:p>
    <w:p w14:paraId="1DCE2534">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3、中标人须对配件提供全年24小时不间断供应服务，并免费送货上门。在维保过程中，若中标人发现需更换的零件，须在获得采购人同意后，及时进行更换。</w:t>
      </w:r>
    </w:p>
    <w:p w14:paraId="3E606C8B">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七、服务验收和履约评价</w:t>
      </w:r>
    </w:p>
    <w:p w14:paraId="266A9B5C">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1、验收标准：符合招标文件和响应承诺中采购人认可的标准及各项服务要求。</w:t>
      </w:r>
    </w:p>
    <w:p w14:paraId="559C8488">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2、履约验收：</w:t>
      </w:r>
    </w:p>
    <w:p w14:paraId="2A8BD349">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2.1 中标人每次完成维保工作后，须确保设备正常运作，并经采购人使用科室相关负责人进行验收、签名。</w:t>
      </w:r>
    </w:p>
    <w:p w14:paraId="0B7930A0">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2.2 项目管理和服务月度质量考评：从病人满意度（10%）、院方管理人员满意度（90%）（见附表）两个维度对服务质量检查进行综合考评，综合考评分≥90分为合格，＜90分的为不合格，低于90分每下降1分（相应分值是整数）扣当月服务费2000元。中标人连续三个月综合考评分均低于90分，或一年内累计有4个月综合考评分均低于90分，采购人可根据合同情况视为违约，并报相关行政主管部门；违约责任由中标人负责，由此造成的一切损失均由中标人负责。</w:t>
      </w:r>
    </w:p>
    <w:p w14:paraId="537DCB39">
      <w:pPr>
        <w:pStyle w:val="3"/>
        <w:spacing w:before="78" w:line="360" w:lineRule="auto"/>
        <w:ind w:firstLine="240" w:firstLineChars="100"/>
        <w:rPr>
          <w:rFonts w:ascii="仿宋" w:hAnsi="仿宋" w:eastAsia="仿宋" w:cs="仿宋"/>
          <w:kern w:val="2"/>
          <w:lang w:eastAsia="zh-CN"/>
        </w:rPr>
      </w:pPr>
      <w:r>
        <w:rPr>
          <w:rFonts w:hint="eastAsia" w:ascii="仿宋" w:hAnsi="仿宋" w:eastAsia="仿宋" w:cs="仿宋"/>
          <w:kern w:val="2"/>
          <w:lang w:eastAsia="zh-CN"/>
        </w:rPr>
        <w:t>2.3 中标人违反采购人的服务要求条款而产生的赔偿费或罚款，在当月的服务费中扣除，若当月的服务费金额不足以扣除赔偿费金额的，超出的部分在次月的服务费中继续扣除。</w:t>
      </w:r>
    </w:p>
    <w:p w14:paraId="38EA4516">
      <w:pPr>
        <w:jc w:val="center"/>
        <w:rPr>
          <w:rFonts w:ascii="仿宋" w:hAnsi="仿宋" w:eastAsia="仿宋" w:cs="仿宋"/>
          <w:sz w:val="24"/>
          <w:szCs w:val="24"/>
        </w:rPr>
      </w:pPr>
      <w:r>
        <w:rPr>
          <w:rFonts w:hint="eastAsia" w:ascii="仿宋" w:hAnsi="仿宋" w:eastAsia="仿宋" w:cs="仿宋"/>
          <w:b/>
          <w:sz w:val="24"/>
          <w:szCs w:val="24"/>
          <w:lang w:eastAsia="zh-CN"/>
        </w:rPr>
        <w:t>电梯设备</w:t>
      </w:r>
      <w:r>
        <w:rPr>
          <w:rFonts w:hint="eastAsia" w:ascii="仿宋" w:hAnsi="仿宋" w:eastAsia="仿宋" w:cs="仿宋"/>
          <w:b/>
          <w:sz w:val="24"/>
          <w:szCs w:val="24"/>
        </w:rPr>
        <w:t>维保服务满意度评分表</w:t>
      </w:r>
    </w:p>
    <w:p w14:paraId="51BB1BA7">
      <w:pPr>
        <w:jc w:val="center"/>
        <w:rPr>
          <w:rFonts w:ascii="仿宋" w:hAnsi="仿宋" w:eastAsia="仿宋" w:cs="仿宋"/>
          <w:sz w:val="24"/>
          <w:szCs w:val="24"/>
        </w:rPr>
      </w:pPr>
      <w:r>
        <w:rPr>
          <w:rFonts w:hint="eastAsia" w:ascii="仿宋" w:hAnsi="仿宋" w:eastAsia="仿宋" w:cs="仿宋"/>
          <w:b/>
          <w:sz w:val="24"/>
          <w:szCs w:val="24"/>
        </w:rPr>
        <w:t>年</w:t>
      </w:r>
      <w:r>
        <w:rPr>
          <w:rFonts w:hint="eastAsia" w:ascii="仿宋" w:hAnsi="仿宋" w:eastAsia="仿宋" w:cs="仿宋"/>
          <w:b/>
          <w:sz w:val="24"/>
          <w:szCs w:val="24"/>
          <w:u w:val="single"/>
        </w:rPr>
        <w:t xml:space="preserve">   </w:t>
      </w:r>
      <w:r>
        <w:rPr>
          <w:rFonts w:hint="eastAsia" w:ascii="仿宋" w:hAnsi="仿宋" w:eastAsia="仿宋" w:cs="仿宋"/>
          <w:b/>
          <w:sz w:val="24"/>
          <w:szCs w:val="24"/>
        </w:rPr>
        <w:t>月</w:t>
      </w:r>
    </w:p>
    <w:tbl>
      <w:tblPr>
        <w:tblStyle w:val="8"/>
        <w:tblW w:w="955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763"/>
        <w:gridCol w:w="596"/>
        <w:gridCol w:w="3799"/>
        <w:gridCol w:w="1432"/>
        <w:gridCol w:w="680"/>
        <w:gridCol w:w="1590"/>
      </w:tblGrid>
      <w:tr w14:paraId="00788B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462" w:type="dxa"/>
            <w:gridSpan w:val="2"/>
            <w:tcBorders>
              <w:top w:val="single" w:color="000000" w:sz="4" w:space="0"/>
              <w:left w:val="single" w:color="000000" w:sz="4" w:space="0"/>
              <w:bottom w:val="single" w:color="000000" w:sz="4" w:space="0"/>
              <w:right w:val="single" w:color="000000" w:sz="4" w:space="0"/>
            </w:tcBorders>
          </w:tcPr>
          <w:p w14:paraId="3AD3F36C">
            <w:pPr>
              <w:jc w:val="center"/>
              <w:rPr>
                <w:rFonts w:ascii="仿宋" w:hAnsi="仿宋" w:eastAsia="仿宋" w:cs="仿宋"/>
                <w:sz w:val="24"/>
                <w:szCs w:val="24"/>
              </w:rPr>
            </w:pPr>
            <w:r>
              <w:rPr>
                <w:rFonts w:hint="eastAsia" w:ascii="仿宋" w:hAnsi="仿宋" w:eastAsia="仿宋" w:cs="仿宋"/>
                <w:b/>
                <w:sz w:val="24"/>
                <w:szCs w:val="24"/>
              </w:rPr>
              <w:t>院区：</w:t>
            </w:r>
          </w:p>
        </w:tc>
        <w:tc>
          <w:tcPr>
            <w:tcW w:w="596" w:type="dxa"/>
            <w:tcBorders>
              <w:top w:val="single" w:color="000000" w:sz="4" w:space="0"/>
              <w:left w:val="single" w:color="000000" w:sz="4" w:space="0"/>
              <w:bottom w:val="single" w:color="000000" w:sz="4" w:space="0"/>
              <w:right w:val="single" w:color="000000" w:sz="4" w:space="0"/>
            </w:tcBorders>
          </w:tcPr>
          <w:p w14:paraId="16002D40">
            <w:pPr>
              <w:jc w:val="center"/>
              <w:rPr>
                <w:rFonts w:ascii="仿宋" w:hAnsi="仿宋" w:eastAsia="仿宋" w:cs="仿宋"/>
                <w:sz w:val="24"/>
                <w:szCs w:val="24"/>
              </w:rPr>
            </w:pPr>
          </w:p>
        </w:tc>
        <w:tc>
          <w:tcPr>
            <w:tcW w:w="3799" w:type="dxa"/>
            <w:tcBorders>
              <w:top w:val="single" w:color="000000" w:sz="4" w:space="0"/>
              <w:left w:val="single" w:color="000000" w:sz="4" w:space="0"/>
              <w:bottom w:val="single" w:color="000000" w:sz="4" w:space="0"/>
              <w:right w:val="single" w:color="000000" w:sz="4" w:space="0"/>
            </w:tcBorders>
          </w:tcPr>
          <w:p w14:paraId="7F8B7239">
            <w:pPr>
              <w:rPr>
                <w:rFonts w:ascii="仿宋" w:hAnsi="仿宋" w:eastAsia="仿宋" w:cs="仿宋"/>
                <w:sz w:val="24"/>
                <w:szCs w:val="24"/>
              </w:rPr>
            </w:pPr>
            <w:r>
              <w:rPr>
                <w:rFonts w:hint="eastAsia" w:ascii="仿宋" w:hAnsi="仿宋" w:eastAsia="仿宋" w:cs="仿宋"/>
                <w:b/>
                <w:sz w:val="24"/>
                <w:szCs w:val="24"/>
              </w:rPr>
              <w:t>评分人签名：</w:t>
            </w:r>
          </w:p>
        </w:tc>
        <w:tc>
          <w:tcPr>
            <w:tcW w:w="3702" w:type="dxa"/>
            <w:gridSpan w:val="3"/>
            <w:tcBorders>
              <w:top w:val="single" w:color="000000" w:sz="4" w:space="0"/>
              <w:left w:val="single" w:color="000000" w:sz="4" w:space="0"/>
              <w:bottom w:val="single" w:color="000000" w:sz="4" w:space="0"/>
              <w:right w:val="single" w:color="000000" w:sz="4" w:space="0"/>
            </w:tcBorders>
          </w:tcPr>
          <w:p w14:paraId="3A86F18B">
            <w:pPr>
              <w:jc w:val="center"/>
              <w:rPr>
                <w:rFonts w:ascii="仿宋" w:hAnsi="仿宋" w:eastAsia="仿宋" w:cs="仿宋"/>
                <w:sz w:val="24"/>
                <w:szCs w:val="24"/>
              </w:rPr>
            </w:pPr>
            <w:r>
              <w:rPr>
                <w:rFonts w:hint="eastAsia" w:ascii="仿宋" w:hAnsi="仿宋" w:eastAsia="仿宋" w:cs="仿宋"/>
                <w:b/>
                <w:sz w:val="24"/>
                <w:szCs w:val="24"/>
              </w:rPr>
              <w:t>填表时间： 年 月 日</w:t>
            </w:r>
          </w:p>
        </w:tc>
      </w:tr>
      <w:tr w14:paraId="7E314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tcBorders>
              <w:top w:val="nil"/>
              <w:left w:val="single" w:color="000000" w:sz="4" w:space="0"/>
              <w:bottom w:val="single" w:color="000000" w:sz="4" w:space="0"/>
              <w:right w:val="single" w:color="000000" w:sz="4" w:space="0"/>
            </w:tcBorders>
          </w:tcPr>
          <w:p w14:paraId="7377C272">
            <w:pPr>
              <w:jc w:val="center"/>
              <w:rPr>
                <w:rFonts w:ascii="仿宋" w:hAnsi="仿宋" w:eastAsia="仿宋" w:cs="仿宋"/>
                <w:sz w:val="24"/>
                <w:szCs w:val="24"/>
              </w:rPr>
            </w:pPr>
            <w:r>
              <w:rPr>
                <w:rFonts w:hint="eastAsia" w:ascii="仿宋" w:hAnsi="仿宋" w:eastAsia="仿宋" w:cs="仿宋"/>
                <w:b/>
                <w:sz w:val="24"/>
                <w:szCs w:val="24"/>
              </w:rPr>
              <w:t>方向</w:t>
            </w:r>
          </w:p>
        </w:tc>
        <w:tc>
          <w:tcPr>
            <w:tcW w:w="763" w:type="dxa"/>
            <w:tcBorders>
              <w:top w:val="nil"/>
              <w:left w:val="single" w:color="000000" w:sz="4" w:space="0"/>
              <w:bottom w:val="single" w:color="000000" w:sz="4" w:space="0"/>
              <w:right w:val="single" w:color="000000" w:sz="4" w:space="0"/>
            </w:tcBorders>
          </w:tcPr>
          <w:p w14:paraId="50BB89B7">
            <w:pPr>
              <w:jc w:val="center"/>
              <w:rPr>
                <w:rFonts w:ascii="仿宋" w:hAnsi="仿宋" w:eastAsia="仿宋" w:cs="仿宋"/>
                <w:sz w:val="24"/>
                <w:szCs w:val="24"/>
              </w:rPr>
            </w:pPr>
            <w:r>
              <w:rPr>
                <w:rFonts w:hint="eastAsia" w:ascii="仿宋" w:hAnsi="仿宋" w:eastAsia="仿宋" w:cs="仿宋"/>
                <w:b/>
                <w:sz w:val="24"/>
                <w:szCs w:val="24"/>
              </w:rPr>
              <w:t>项目</w:t>
            </w:r>
          </w:p>
        </w:tc>
        <w:tc>
          <w:tcPr>
            <w:tcW w:w="596" w:type="dxa"/>
            <w:tcBorders>
              <w:top w:val="nil"/>
              <w:left w:val="single" w:color="000000" w:sz="4" w:space="0"/>
              <w:bottom w:val="single" w:color="000000" w:sz="4" w:space="0"/>
              <w:right w:val="single" w:color="000000" w:sz="4" w:space="0"/>
            </w:tcBorders>
          </w:tcPr>
          <w:p w14:paraId="1BDB33AD">
            <w:pPr>
              <w:jc w:val="center"/>
              <w:rPr>
                <w:rFonts w:ascii="仿宋" w:hAnsi="仿宋" w:eastAsia="仿宋" w:cs="仿宋"/>
                <w:sz w:val="24"/>
                <w:szCs w:val="24"/>
              </w:rPr>
            </w:pPr>
            <w:r>
              <w:rPr>
                <w:rFonts w:hint="eastAsia" w:ascii="仿宋" w:hAnsi="仿宋" w:eastAsia="仿宋" w:cs="仿宋"/>
                <w:b/>
                <w:sz w:val="24"/>
                <w:szCs w:val="24"/>
              </w:rPr>
              <w:t>序号</w:t>
            </w:r>
          </w:p>
        </w:tc>
        <w:tc>
          <w:tcPr>
            <w:tcW w:w="3799" w:type="dxa"/>
            <w:tcBorders>
              <w:top w:val="nil"/>
              <w:left w:val="single" w:color="000000" w:sz="4" w:space="0"/>
              <w:bottom w:val="single" w:color="000000" w:sz="4" w:space="0"/>
              <w:right w:val="single" w:color="000000" w:sz="4" w:space="0"/>
            </w:tcBorders>
          </w:tcPr>
          <w:p w14:paraId="4B3CF4EB">
            <w:pPr>
              <w:jc w:val="center"/>
              <w:rPr>
                <w:rFonts w:ascii="仿宋" w:hAnsi="仿宋" w:eastAsia="仿宋" w:cs="仿宋"/>
                <w:sz w:val="24"/>
                <w:szCs w:val="24"/>
              </w:rPr>
            </w:pPr>
            <w:r>
              <w:rPr>
                <w:rFonts w:hint="eastAsia" w:ascii="仿宋" w:hAnsi="仿宋" w:eastAsia="仿宋" w:cs="仿宋"/>
                <w:b/>
                <w:sz w:val="24"/>
                <w:szCs w:val="24"/>
              </w:rPr>
              <w:t>评分细则</w:t>
            </w:r>
          </w:p>
        </w:tc>
        <w:tc>
          <w:tcPr>
            <w:tcW w:w="1432" w:type="dxa"/>
            <w:tcBorders>
              <w:top w:val="single" w:color="000000" w:sz="4" w:space="0"/>
              <w:left w:val="single" w:color="000000" w:sz="4" w:space="0"/>
              <w:bottom w:val="single" w:color="000000" w:sz="4" w:space="0"/>
              <w:right w:val="single" w:color="000000" w:sz="4" w:space="0"/>
            </w:tcBorders>
          </w:tcPr>
          <w:p w14:paraId="2BBDFD7E">
            <w:pPr>
              <w:jc w:val="center"/>
              <w:rPr>
                <w:rFonts w:ascii="仿宋" w:hAnsi="仿宋" w:eastAsia="仿宋" w:cs="仿宋"/>
                <w:sz w:val="24"/>
                <w:szCs w:val="24"/>
              </w:rPr>
            </w:pPr>
            <w:r>
              <w:rPr>
                <w:rFonts w:hint="eastAsia" w:ascii="仿宋" w:hAnsi="仿宋" w:eastAsia="仿宋" w:cs="仿宋"/>
                <w:b/>
                <w:sz w:val="24"/>
                <w:szCs w:val="24"/>
              </w:rPr>
              <w:t>分值</w:t>
            </w:r>
          </w:p>
        </w:tc>
        <w:tc>
          <w:tcPr>
            <w:tcW w:w="680" w:type="dxa"/>
            <w:tcBorders>
              <w:top w:val="single" w:color="000000" w:sz="4" w:space="0"/>
              <w:left w:val="single" w:color="000000" w:sz="4" w:space="0"/>
              <w:bottom w:val="single" w:color="000000" w:sz="4" w:space="0"/>
              <w:right w:val="single" w:color="000000" w:sz="4" w:space="0"/>
            </w:tcBorders>
          </w:tcPr>
          <w:p w14:paraId="23BA25AE">
            <w:pPr>
              <w:jc w:val="center"/>
              <w:rPr>
                <w:rFonts w:ascii="仿宋" w:hAnsi="仿宋" w:eastAsia="仿宋" w:cs="仿宋"/>
                <w:sz w:val="24"/>
                <w:szCs w:val="24"/>
              </w:rPr>
            </w:pPr>
            <w:r>
              <w:rPr>
                <w:rFonts w:hint="eastAsia" w:ascii="仿宋" w:hAnsi="仿宋" w:eastAsia="仿宋" w:cs="仿宋"/>
                <w:b/>
                <w:sz w:val="24"/>
                <w:szCs w:val="24"/>
              </w:rPr>
              <w:t>扣分</w:t>
            </w:r>
          </w:p>
        </w:tc>
        <w:tc>
          <w:tcPr>
            <w:tcW w:w="1590" w:type="dxa"/>
            <w:tcBorders>
              <w:top w:val="single" w:color="000000" w:sz="4" w:space="0"/>
              <w:left w:val="single" w:color="000000" w:sz="4" w:space="0"/>
              <w:bottom w:val="single" w:color="000000" w:sz="4" w:space="0"/>
              <w:right w:val="single" w:color="000000" w:sz="4" w:space="0"/>
            </w:tcBorders>
          </w:tcPr>
          <w:p w14:paraId="2D820EDE">
            <w:pPr>
              <w:jc w:val="center"/>
              <w:rPr>
                <w:rFonts w:ascii="仿宋" w:hAnsi="仿宋" w:eastAsia="仿宋" w:cs="仿宋"/>
                <w:sz w:val="24"/>
                <w:szCs w:val="24"/>
              </w:rPr>
            </w:pPr>
            <w:r>
              <w:rPr>
                <w:rFonts w:hint="eastAsia" w:ascii="仿宋" w:hAnsi="仿宋" w:eastAsia="仿宋" w:cs="仿宋"/>
                <w:b/>
                <w:sz w:val="24"/>
                <w:szCs w:val="24"/>
              </w:rPr>
              <w:t>扣分原因</w:t>
            </w:r>
          </w:p>
        </w:tc>
      </w:tr>
      <w:tr w14:paraId="141F1E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restart"/>
            <w:tcBorders>
              <w:top w:val="nil"/>
              <w:left w:val="single" w:color="000000" w:sz="4" w:space="0"/>
              <w:bottom w:val="single" w:color="000000" w:sz="4" w:space="0"/>
              <w:right w:val="single" w:color="000000" w:sz="4" w:space="0"/>
            </w:tcBorders>
          </w:tcPr>
          <w:p w14:paraId="0DA5F7F1">
            <w:pPr>
              <w:rPr>
                <w:rFonts w:ascii="仿宋" w:hAnsi="仿宋" w:eastAsia="仿宋" w:cs="仿宋"/>
                <w:sz w:val="24"/>
                <w:szCs w:val="24"/>
              </w:rPr>
            </w:pPr>
            <w:r>
              <w:rPr>
                <w:rFonts w:hint="eastAsia" w:ascii="仿宋" w:hAnsi="仿宋" w:eastAsia="仿宋" w:cs="仿宋"/>
                <w:b/>
                <w:sz w:val="24"/>
                <w:szCs w:val="24"/>
              </w:rPr>
              <w:t>管理方面（45分）</w:t>
            </w:r>
          </w:p>
        </w:tc>
        <w:tc>
          <w:tcPr>
            <w:tcW w:w="763" w:type="dxa"/>
            <w:vMerge w:val="restart"/>
            <w:tcBorders>
              <w:top w:val="nil"/>
              <w:left w:val="single" w:color="000000" w:sz="4" w:space="0"/>
              <w:bottom w:val="single" w:color="000000" w:sz="4" w:space="0"/>
              <w:right w:val="single" w:color="000000" w:sz="4" w:space="0"/>
            </w:tcBorders>
          </w:tcPr>
          <w:p w14:paraId="68FADA8E">
            <w:pPr>
              <w:jc w:val="center"/>
              <w:rPr>
                <w:rFonts w:ascii="仿宋" w:hAnsi="仿宋" w:eastAsia="仿宋" w:cs="仿宋"/>
                <w:sz w:val="24"/>
                <w:szCs w:val="24"/>
              </w:rPr>
            </w:pPr>
            <w:r>
              <w:rPr>
                <w:rFonts w:hint="eastAsia" w:ascii="仿宋" w:hAnsi="仿宋" w:eastAsia="仿宋" w:cs="仿宋"/>
                <w:sz w:val="24"/>
                <w:szCs w:val="24"/>
              </w:rPr>
              <w:t>服务形象</w:t>
            </w:r>
          </w:p>
          <w:p w14:paraId="2310DC29">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1EDEE77F">
            <w:pPr>
              <w:jc w:val="center"/>
              <w:rPr>
                <w:rFonts w:ascii="仿宋" w:hAnsi="仿宋" w:eastAsia="仿宋" w:cs="仿宋"/>
                <w:sz w:val="24"/>
                <w:szCs w:val="24"/>
              </w:rPr>
            </w:pPr>
            <w:r>
              <w:rPr>
                <w:rFonts w:hint="eastAsia" w:ascii="仿宋" w:hAnsi="仿宋" w:eastAsia="仿宋" w:cs="仿宋"/>
                <w:sz w:val="24"/>
                <w:szCs w:val="24"/>
              </w:rPr>
              <w:t>1</w:t>
            </w:r>
          </w:p>
        </w:tc>
        <w:tc>
          <w:tcPr>
            <w:tcW w:w="3799" w:type="dxa"/>
            <w:tcBorders>
              <w:top w:val="nil"/>
              <w:left w:val="single" w:color="000000" w:sz="4" w:space="0"/>
              <w:bottom w:val="single" w:color="000000" w:sz="4" w:space="0"/>
              <w:right w:val="single" w:color="000000" w:sz="4" w:space="0"/>
            </w:tcBorders>
          </w:tcPr>
          <w:p w14:paraId="13ACFBED">
            <w:pPr>
              <w:rPr>
                <w:rFonts w:ascii="仿宋" w:hAnsi="仿宋" w:eastAsia="仿宋" w:cs="仿宋"/>
                <w:sz w:val="24"/>
                <w:szCs w:val="24"/>
              </w:rPr>
            </w:pPr>
            <w:r>
              <w:rPr>
                <w:rFonts w:hint="eastAsia" w:ascii="仿宋" w:hAnsi="仿宋" w:eastAsia="仿宋" w:cs="仿宋"/>
                <w:sz w:val="24"/>
                <w:szCs w:val="24"/>
              </w:rPr>
              <w:t>统一整齐着装，佩戴工作证</w:t>
            </w:r>
          </w:p>
        </w:tc>
        <w:tc>
          <w:tcPr>
            <w:tcW w:w="1432" w:type="dxa"/>
            <w:vMerge w:val="restart"/>
            <w:tcBorders>
              <w:top w:val="nil"/>
              <w:left w:val="single" w:color="000000" w:sz="4" w:space="0"/>
              <w:bottom w:val="single" w:color="000000" w:sz="4" w:space="0"/>
              <w:right w:val="single" w:color="000000" w:sz="4" w:space="0"/>
            </w:tcBorders>
          </w:tcPr>
          <w:p w14:paraId="75912C09">
            <w:pPr>
              <w:rPr>
                <w:rFonts w:ascii="仿宋" w:hAnsi="仿宋" w:eastAsia="仿宋" w:cs="仿宋"/>
                <w:sz w:val="24"/>
                <w:szCs w:val="24"/>
              </w:rPr>
            </w:pPr>
            <w:r>
              <w:rPr>
                <w:rFonts w:hint="eastAsia" w:ascii="仿宋" w:hAnsi="仿宋" w:eastAsia="仿宋" w:cs="仿宋"/>
                <w:sz w:val="24"/>
                <w:szCs w:val="24"/>
              </w:rPr>
              <w:t>总分45分，公司某个评分点服务不到位的，可酌情扣分。</w:t>
            </w:r>
          </w:p>
        </w:tc>
        <w:tc>
          <w:tcPr>
            <w:tcW w:w="680" w:type="dxa"/>
            <w:tcBorders>
              <w:top w:val="nil"/>
              <w:left w:val="single" w:color="000000" w:sz="4" w:space="0"/>
              <w:bottom w:val="single" w:color="000000" w:sz="4" w:space="0"/>
              <w:right w:val="single" w:color="000000" w:sz="4" w:space="0"/>
            </w:tcBorders>
          </w:tcPr>
          <w:p w14:paraId="746C11FD">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11CE4B12">
            <w:pPr>
              <w:rPr>
                <w:rFonts w:ascii="仿宋" w:hAnsi="仿宋" w:eastAsia="仿宋" w:cs="仿宋"/>
                <w:sz w:val="24"/>
                <w:szCs w:val="24"/>
              </w:rPr>
            </w:pPr>
          </w:p>
        </w:tc>
      </w:tr>
      <w:tr w14:paraId="4626B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18C67C5D">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659B7166">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0957DA0C">
            <w:pPr>
              <w:jc w:val="center"/>
              <w:rPr>
                <w:rFonts w:ascii="仿宋" w:hAnsi="仿宋" w:eastAsia="仿宋" w:cs="仿宋"/>
                <w:sz w:val="24"/>
                <w:szCs w:val="24"/>
              </w:rPr>
            </w:pPr>
            <w:r>
              <w:rPr>
                <w:rFonts w:hint="eastAsia" w:ascii="仿宋" w:hAnsi="仿宋" w:eastAsia="仿宋" w:cs="仿宋"/>
                <w:sz w:val="24"/>
                <w:szCs w:val="24"/>
              </w:rPr>
              <w:t>2</w:t>
            </w:r>
          </w:p>
        </w:tc>
        <w:tc>
          <w:tcPr>
            <w:tcW w:w="3799" w:type="dxa"/>
            <w:tcBorders>
              <w:top w:val="nil"/>
              <w:left w:val="single" w:color="000000" w:sz="4" w:space="0"/>
              <w:bottom w:val="single" w:color="000000" w:sz="4" w:space="0"/>
              <w:right w:val="single" w:color="000000" w:sz="4" w:space="0"/>
            </w:tcBorders>
          </w:tcPr>
          <w:p w14:paraId="0B978C7B">
            <w:pPr>
              <w:rPr>
                <w:rFonts w:ascii="仿宋" w:hAnsi="仿宋" w:eastAsia="仿宋" w:cs="仿宋"/>
                <w:sz w:val="24"/>
                <w:szCs w:val="24"/>
              </w:rPr>
            </w:pPr>
            <w:r>
              <w:rPr>
                <w:rFonts w:hint="eastAsia" w:ascii="仿宋" w:hAnsi="仿宋" w:eastAsia="仿宋" w:cs="仿宋"/>
                <w:sz w:val="24"/>
                <w:szCs w:val="24"/>
              </w:rPr>
              <w:t>衣着整齐干净、仪态端正</w:t>
            </w:r>
          </w:p>
        </w:tc>
        <w:tc>
          <w:tcPr>
            <w:tcW w:w="1432" w:type="dxa"/>
            <w:vMerge w:val="continue"/>
            <w:tcBorders>
              <w:top w:val="nil"/>
              <w:left w:val="single" w:color="000000" w:sz="4" w:space="0"/>
              <w:bottom w:val="single" w:color="000000" w:sz="4" w:space="0"/>
              <w:right w:val="single" w:color="000000" w:sz="4" w:space="0"/>
            </w:tcBorders>
          </w:tcPr>
          <w:p w14:paraId="7EA91893">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590542E9">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5C2403BE">
            <w:pPr>
              <w:rPr>
                <w:rFonts w:ascii="仿宋" w:hAnsi="仿宋" w:eastAsia="仿宋" w:cs="仿宋"/>
                <w:sz w:val="24"/>
                <w:szCs w:val="24"/>
              </w:rPr>
            </w:pPr>
          </w:p>
        </w:tc>
      </w:tr>
      <w:tr w14:paraId="34E16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12495E20">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14:paraId="58BE750B">
            <w:pPr>
              <w:jc w:val="center"/>
              <w:rPr>
                <w:rFonts w:ascii="仿宋" w:hAnsi="仿宋" w:eastAsia="仿宋" w:cs="仿宋"/>
                <w:sz w:val="24"/>
                <w:szCs w:val="24"/>
              </w:rPr>
            </w:pPr>
            <w:r>
              <w:rPr>
                <w:rFonts w:hint="eastAsia" w:ascii="仿宋" w:hAnsi="仿宋" w:eastAsia="仿宋" w:cs="仿宋"/>
                <w:sz w:val="24"/>
                <w:szCs w:val="24"/>
              </w:rPr>
              <w:t>服务态度</w:t>
            </w:r>
          </w:p>
          <w:p w14:paraId="59878C0D">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1B9A82EC">
            <w:pPr>
              <w:jc w:val="center"/>
              <w:rPr>
                <w:rFonts w:ascii="仿宋" w:hAnsi="仿宋" w:eastAsia="仿宋" w:cs="仿宋"/>
                <w:sz w:val="24"/>
                <w:szCs w:val="24"/>
              </w:rPr>
            </w:pPr>
            <w:r>
              <w:rPr>
                <w:rFonts w:hint="eastAsia" w:ascii="仿宋" w:hAnsi="仿宋" w:eastAsia="仿宋" w:cs="仿宋"/>
                <w:sz w:val="24"/>
                <w:szCs w:val="24"/>
              </w:rPr>
              <w:t>3</w:t>
            </w:r>
          </w:p>
        </w:tc>
        <w:tc>
          <w:tcPr>
            <w:tcW w:w="3799" w:type="dxa"/>
            <w:tcBorders>
              <w:top w:val="nil"/>
              <w:left w:val="single" w:color="000000" w:sz="4" w:space="0"/>
              <w:bottom w:val="single" w:color="000000" w:sz="4" w:space="0"/>
              <w:right w:val="single" w:color="000000" w:sz="4" w:space="0"/>
            </w:tcBorders>
          </w:tcPr>
          <w:p w14:paraId="734B5F74">
            <w:pPr>
              <w:rPr>
                <w:rFonts w:ascii="仿宋" w:hAnsi="仿宋" w:eastAsia="仿宋" w:cs="仿宋"/>
                <w:sz w:val="24"/>
                <w:szCs w:val="24"/>
              </w:rPr>
            </w:pPr>
            <w:r>
              <w:rPr>
                <w:rFonts w:hint="eastAsia" w:ascii="仿宋" w:hAnsi="仿宋" w:eastAsia="仿宋" w:cs="仿宋"/>
                <w:sz w:val="24"/>
                <w:szCs w:val="24"/>
              </w:rPr>
              <w:t>热情服务，耐心回答客户咨询</w:t>
            </w:r>
          </w:p>
        </w:tc>
        <w:tc>
          <w:tcPr>
            <w:tcW w:w="1432" w:type="dxa"/>
            <w:vMerge w:val="continue"/>
            <w:tcBorders>
              <w:top w:val="nil"/>
              <w:left w:val="single" w:color="000000" w:sz="4" w:space="0"/>
              <w:bottom w:val="single" w:color="000000" w:sz="4" w:space="0"/>
              <w:right w:val="single" w:color="000000" w:sz="4" w:space="0"/>
            </w:tcBorders>
          </w:tcPr>
          <w:p w14:paraId="293D6427">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6F13D376">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12FA99F5">
            <w:pPr>
              <w:rPr>
                <w:rFonts w:ascii="仿宋" w:hAnsi="仿宋" w:eastAsia="仿宋" w:cs="仿宋"/>
                <w:sz w:val="24"/>
                <w:szCs w:val="24"/>
              </w:rPr>
            </w:pPr>
          </w:p>
        </w:tc>
      </w:tr>
      <w:tr w14:paraId="5F40E6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0AE03EF3">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0D1EE95C">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046850A2">
            <w:pPr>
              <w:jc w:val="center"/>
              <w:rPr>
                <w:rFonts w:ascii="仿宋" w:hAnsi="仿宋" w:eastAsia="仿宋" w:cs="仿宋"/>
                <w:sz w:val="24"/>
                <w:szCs w:val="24"/>
              </w:rPr>
            </w:pPr>
            <w:r>
              <w:rPr>
                <w:rFonts w:hint="eastAsia" w:ascii="仿宋" w:hAnsi="仿宋" w:eastAsia="仿宋" w:cs="仿宋"/>
                <w:sz w:val="24"/>
                <w:szCs w:val="24"/>
              </w:rPr>
              <w:t>4</w:t>
            </w:r>
          </w:p>
        </w:tc>
        <w:tc>
          <w:tcPr>
            <w:tcW w:w="3799" w:type="dxa"/>
            <w:tcBorders>
              <w:top w:val="nil"/>
              <w:left w:val="single" w:color="000000" w:sz="4" w:space="0"/>
              <w:bottom w:val="single" w:color="000000" w:sz="4" w:space="0"/>
              <w:right w:val="single" w:color="000000" w:sz="4" w:space="0"/>
            </w:tcBorders>
          </w:tcPr>
          <w:p w14:paraId="74896EA4">
            <w:pPr>
              <w:rPr>
                <w:rFonts w:ascii="仿宋" w:hAnsi="仿宋" w:eastAsia="仿宋" w:cs="仿宋"/>
                <w:sz w:val="24"/>
                <w:szCs w:val="24"/>
              </w:rPr>
            </w:pPr>
            <w:r>
              <w:rPr>
                <w:rFonts w:hint="eastAsia" w:ascii="仿宋" w:hAnsi="仿宋" w:eastAsia="仿宋" w:cs="仿宋"/>
                <w:sz w:val="24"/>
                <w:szCs w:val="24"/>
              </w:rPr>
              <w:t>语言得体有礼貌，微笑服务</w:t>
            </w:r>
          </w:p>
        </w:tc>
        <w:tc>
          <w:tcPr>
            <w:tcW w:w="1432" w:type="dxa"/>
            <w:vMerge w:val="continue"/>
            <w:tcBorders>
              <w:top w:val="nil"/>
              <w:left w:val="single" w:color="000000" w:sz="4" w:space="0"/>
              <w:bottom w:val="single" w:color="000000" w:sz="4" w:space="0"/>
              <w:right w:val="single" w:color="000000" w:sz="4" w:space="0"/>
            </w:tcBorders>
          </w:tcPr>
          <w:p w14:paraId="011BD738">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78336680">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1A95DC43">
            <w:pPr>
              <w:rPr>
                <w:rFonts w:ascii="仿宋" w:hAnsi="仿宋" w:eastAsia="仿宋" w:cs="仿宋"/>
                <w:sz w:val="24"/>
                <w:szCs w:val="24"/>
              </w:rPr>
            </w:pPr>
          </w:p>
        </w:tc>
      </w:tr>
      <w:tr w14:paraId="409C07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3CBAC8F5">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2F69151D">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1C7F3035">
            <w:pPr>
              <w:jc w:val="center"/>
              <w:rPr>
                <w:rFonts w:ascii="仿宋" w:hAnsi="仿宋" w:eastAsia="仿宋" w:cs="仿宋"/>
                <w:sz w:val="24"/>
                <w:szCs w:val="24"/>
              </w:rPr>
            </w:pPr>
            <w:r>
              <w:rPr>
                <w:rFonts w:hint="eastAsia" w:ascii="仿宋" w:hAnsi="仿宋" w:eastAsia="仿宋" w:cs="仿宋"/>
                <w:sz w:val="24"/>
                <w:szCs w:val="24"/>
              </w:rPr>
              <w:t>5</w:t>
            </w:r>
          </w:p>
        </w:tc>
        <w:tc>
          <w:tcPr>
            <w:tcW w:w="3799" w:type="dxa"/>
            <w:tcBorders>
              <w:top w:val="nil"/>
              <w:left w:val="single" w:color="000000" w:sz="4" w:space="0"/>
              <w:bottom w:val="single" w:color="000000" w:sz="4" w:space="0"/>
              <w:right w:val="single" w:color="000000" w:sz="4" w:space="0"/>
            </w:tcBorders>
          </w:tcPr>
          <w:p w14:paraId="39B40DE3">
            <w:pPr>
              <w:rPr>
                <w:rFonts w:ascii="仿宋" w:hAnsi="仿宋" w:eastAsia="仿宋" w:cs="仿宋"/>
                <w:sz w:val="24"/>
                <w:szCs w:val="24"/>
              </w:rPr>
            </w:pPr>
            <w:r>
              <w:rPr>
                <w:rFonts w:hint="eastAsia" w:ascii="仿宋" w:hAnsi="仿宋" w:eastAsia="仿宋" w:cs="仿宋"/>
                <w:sz w:val="24"/>
                <w:szCs w:val="24"/>
              </w:rPr>
              <w:t>及时提供服务</w:t>
            </w:r>
          </w:p>
        </w:tc>
        <w:tc>
          <w:tcPr>
            <w:tcW w:w="1432" w:type="dxa"/>
            <w:vMerge w:val="continue"/>
            <w:tcBorders>
              <w:top w:val="nil"/>
              <w:left w:val="single" w:color="000000" w:sz="4" w:space="0"/>
              <w:bottom w:val="single" w:color="000000" w:sz="4" w:space="0"/>
              <w:right w:val="single" w:color="000000" w:sz="4" w:space="0"/>
            </w:tcBorders>
          </w:tcPr>
          <w:p w14:paraId="7897FAFE">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6FE74658">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34252DCA">
            <w:pPr>
              <w:rPr>
                <w:rFonts w:ascii="仿宋" w:hAnsi="仿宋" w:eastAsia="仿宋" w:cs="仿宋"/>
                <w:sz w:val="24"/>
                <w:szCs w:val="24"/>
              </w:rPr>
            </w:pPr>
          </w:p>
        </w:tc>
      </w:tr>
      <w:tr w14:paraId="63864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0A8C8BF8">
            <w:pPr>
              <w:rPr>
                <w:rFonts w:ascii="仿宋" w:hAnsi="仿宋" w:eastAsia="仿宋" w:cs="仿宋"/>
                <w:sz w:val="24"/>
                <w:szCs w:val="24"/>
              </w:rPr>
            </w:pPr>
          </w:p>
        </w:tc>
        <w:tc>
          <w:tcPr>
            <w:tcW w:w="763" w:type="dxa"/>
            <w:tcBorders>
              <w:top w:val="nil"/>
              <w:left w:val="single" w:color="000000" w:sz="4" w:space="0"/>
              <w:bottom w:val="single" w:color="000000" w:sz="4" w:space="0"/>
              <w:right w:val="single" w:color="000000" w:sz="4" w:space="0"/>
            </w:tcBorders>
          </w:tcPr>
          <w:p w14:paraId="26C00054">
            <w:pPr>
              <w:jc w:val="center"/>
              <w:rPr>
                <w:rFonts w:ascii="仿宋" w:hAnsi="仿宋" w:eastAsia="仿宋" w:cs="仿宋"/>
                <w:sz w:val="24"/>
                <w:szCs w:val="24"/>
              </w:rPr>
            </w:pPr>
            <w:r>
              <w:rPr>
                <w:rFonts w:hint="eastAsia" w:ascii="仿宋" w:hAnsi="仿宋" w:eastAsia="仿宋" w:cs="仿宋"/>
                <w:sz w:val="24"/>
                <w:szCs w:val="24"/>
              </w:rPr>
              <w:t>人员情况</w:t>
            </w:r>
          </w:p>
          <w:p w14:paraId="0C9D2B3F">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3C3B6695">
            <w:pPr>
              <w:jc w:val="center"/>
              <w:rPr>
                <w:rFonts w:ascii="仿宋" w:hAnsi="仿宋" w:eastAsia="仿宋" w:cs="仿宋"/>
                <w:sz w:val="24"/>
                <w:szCs w:val="24"/>
              </w:rPr>
            </w:pPr>
            <w:r>
              <w:rPr>
                <w:rFonts w:hint="eastAsia" w:ascii="仿宋" w:hAnsi="仿宋" w:eastAsia="仿宋" w:cs="仿宋"/>
                <w:sz w:val="24"/>
                <w:szCs w:val="24"/>
              </w:rPr>
              <w:t>6</w:t>
            </w:r>
          </w:p>
        </w:tc>
        <w:tc>
          <w:tcPr>
            <w:tcW w:w="3799" w:type="dxa"/>
            <w:tcBorders>
              <w:top w:val="nil"/>
              <w:left w:val="single" w:color="000000" w:sz="4" w:space="0"/>
              <w:bottom w:val="single" w:color="000000" w:sz="4" w:space="0"/>
              <w:right w:val="single" w:color="000000" w:sz="4" w:space="0"/>
            </w:tcBorders>
          </w:tcPr>
          <w:p w14:paraId="6D9F9B2F">
            <w:pPr>
              <w:rPr>
                <w:rFonts w:ascii="仿宋" w:hAnsi="仿宋" w:eastAsia="仿宋" w:cs="仿宋"/>
                <w:sz w:val="24"/>
                <w:szCs w:val="24"/>
              </w:rPr>
            </w:pPr>
            <w:r>
              <w:rPr>
                <w:rFonts w:hint="eastAsia" w:ascii="仿宋" w:hAnsi="仿宋" w:eastAsia="仿宋" w:cs="仿宋"/>
                <w:sz w:val="24"/>
                <w:szCs w:val="24"/>
              </w:rPr>
              <w:t>实际驻场人员数量是否符合合同要求</w:t>
            </w:r>
          </w:p>
        </w:tc>
        <w:tc>
          <w:tcPr>
            <w:tcW w:w="1432" w:type="dxa"/>
            <w:vMerge w:val="continue"/>
            <w:tcBorders>
              <w:top w:val="nil"/>
              <w:left w:val="single" w:color="000000" w:sz="4" w:space="0"/>
              <w:bottom w:val="single" w:color="000000" w:sz="4" w:space="0"/>
              <w:right w:val="single" w:color="000000" w:sz="4" w:space="0"/>
            </w:tcBorders>
          </w:tcPr>
          <w:p w14:paraId="20AE70C3">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7B31DF6F">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7FEB2B92">
            <w:pPr>
              <w:rPr>
                <w:rFonts w:ascii="仿宋" w:hAnsi="仿宋" w:eastAsia="仿宋" w:cs="仿宋"/>
                <w:sz w:val="24"/>
                <w:szCs w:val="24"/>
              </w:rPr>
            </w:pPr>
          </w:p>
        </w:tc>
      </w:tr>
      <w:tr w14:paraId="6091C5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5066B8E0">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14:paraId="79B2C891">
            <w:pPr>
              <w:jc w:val="center"/>
              <w:rPr>
                <w:rFonts w:ascii="仿宋" w:hAnsi="仿宋" w:eastAsia="仿宋" w:cs="仿宋"/>
                <w:sz w:val="24"/>
                <w:szCs w:val="24"/>
              </w:rPr>
            </w:pPr>
            <w:r>
              <w:rPr>
                <w:rFonts w:hint="eastAsia" w:ascii="仿宋" w:hAnsi="仿宋" w:eastAsia="仿宋" w:cs="仿宋"/>
                <w:sz w:val="24"/>
                <w:szCs w:val="24"/>
              </w:rPr>
              <w:t>制度执行情况</w:t>
            </w:r>
          </w:p>
          <w:p w14:paraId="46C867D6">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53A6A241">
            <w:pPr>
              <w:jc w:val="center"/>
              <w:rPr>
                <w:rFonts w:ascii="仿宋" w:hAnsi="仿宋" w:eastAsia="仿宋" w:cs="仿宋"/>
                <w:sz w:val="24"/>
                <w:szCs w:val="24"/>
              </w:rPr>
            </w:pPr>
            <w:r>
              <w:rPr>
                <w:rFonts w:hint="eastAsia" w:ascii="仿宋" w:hAnsi="仿宋" w:eastAsia="仿宋" w:cs="仿宋"/>
                <w:sz w:val="24"/>
                <w:szCs w:val="24"/>
              </w:rPr>
              <w:t>7</w:t>
            </w:r>
          </w:p>
        </w:tc>
        <w:tc>
          <w:tcPr>
            <w:tcW w:w="3799" w:type="dxa"/>
            <w:tcBorders>
              <w:top w:val="nil"/>
              <w:left w:val="single" w:color="000000" w:sz="4" w:space="0"/>
              <w:bottom w:val="single" w:color="000000" w:sz="4" w:space="0"/>
              <w:right w:val="single" w:color="000000" w:sz="4" w:space="0"/>
            </w:tcBorders>
          </w:tcPr>
          <w:p w14:paraId="305E5646">
            <w:pPr>
              <w:rPr>
                <w:rFonts w:ascii="仿宋" w:hAnsi="仿宋" w:eastAsia="仿宋" w:cs="仿宋"/>
                <w:sz w:val="24"/>
                <w:szCs w:val="24"/>
              </w:rPr>
            </w:pPr>
            <w:r>
              <w:rPr>
                <w:rFonts w:hint="eastAsia" w:ascii="仿宋" w:hAnsi="仿宋" w:eastAsia="仿宋" w:cs="仿宋"/>
                <w:sz w:val="24"/>
                <w:szCs w:val="24"/>
              </w:rPr>
              <w:t>是否擅自带公司、院方科室、物资、材料外出</w:t>
            </w:r>
          </w:p>
        </w:tc>
        <w:tc>
          <w:tcPr>
            <w:tcW w:w="1432" w:type="dxa"/>
            <w:vMerge w:val="continue"/>
            <w:tcBorders>
              <w:top w:val="nil"/>
              <w:left w:val="single" w:color="000000" w:sz="4" w:space="0"/>
              <w:bottom w:val="single" w:color="000000" w:sz="4" w:space="0"/>
              <w:right w:val="single" w:color="000000" w:sz="4" w:space="0"/>
            </w:tcBorders>
          </w:tcPr>
          <w:p w14:paraId="2A3F9DEC">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58F15EC6">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3F18785D">
            <w:pPr>
              <w:rPr>
                <w:rFonts w:ascii="仿宋" w:hAnsi="仿宋" w:eastAsia="仿宋" w:cs="仿宋"/>
                <w:sz w:val="24"/>
                <w:szCs w:val="24"/>
              </w:rPr>
            </w:pPr>
          </w:p>
        </w:tc>
      </w:tr>
      <w:tr w14:paraId="637405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75FFB012">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1CA719A4">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719610B5">
            <w:pPr>
              <w:jc w:val="center"/>
              <w:rPr>
                <w:rFonts w:ascii="仿宋" w:hAnsi="仿宋" w:eastAsia="仿宋" w:cs="仿宋"/>
                <w:sz w:val="24"/>
                <w:szCs w:val="24"/>
              </w:rPr>
            </w:pPr>
            <w:r>
              <w:rPr>
                <w:rFonts w:hint="eastAsia" w:ascii="仿宋" w:hAnsi="仿宋" w:eastAsia="仿宋" w:cs="仿宋"/>
                <w:sz w:val="24"/>
                <w:szCs w:val="24"/>
              </w:rPr>
              <w:t>8</w:t>
            </w:r>
          </w:p>
        </w:tc>
        <w:tc>
          <w:tcPr>
            <w:tcW w:w="3799" w:type="dxa"/>
            <w:tcBorders>
              <w:top w:val="nil"/>
              <w:left w:val="single" w:color="000000" w:sz="4" w:space="0"/>
              <w:bottom w:val="single" w:color="000000" w:sz="4" w:space="0"/>
              <w:right w:val="single" w:color="000000" w:sz="4" w:space="0"/>
            </w:tcBorders>
          </w:tcPr>
          <w:p w14:paraId="0DB7ACF0">
            <w:pPr>
              <w:rPr>
                <w:rFonts w:ascii="仿宋" w:hAnsi="仿宋" w:eastAsia="仿宋" w:cs="仿宋"/>
                <w:sz w:val="24"/>
                <w:szCs w:val="24"/>
              </w:rPr>
            </w:pPr>
            <w:r>
              <w:rPr>
                <w:rFonts w:hint="eastAsia" w:ascii="仿宋" w:hAnsi="仿宋" w:eastAsia="仿宋" w:cs="仿宋"/>
                <w:sz w:val="24"/>
                <w:szCs w:val="24"/>
              </w:rPr>
              <w:t>工作安全措施落实到位，有安全工作监督机制，无安全隐患。</w:t>
            </w:r>
          </w:p>
        </w:tc>
        <w:tc>
          <w:tcPr>
            <w:tcW w:w="1432" w:type="dxa"/>
            <w:vMerge w:val="continue"/>
            <w:tcBorders>
              <w:top w:val="nil"/>
              <w:left w:val="single" w:color="000000" w:sz="4" w:space="0"/>
              <w:bottom w:val="single" w:color="000000" w:sz="4" w:space="0"/>
              <w:right w:val="single" w:color="000000" w:sz="4" w:space="0"/>
            </w:tcBorders>
          </w:tcPr>
          <w:p w14:paraId="023D2489">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4E6D50E0">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2C11E5E0">
            <w:pPr>
              <w:rPr>
                <w:rFonts w:ascii="仿宋" w:hAnsi="仿宋" w:eastAsia="仿宋" w:cs="仿宋"/>
                <w:sz w:val="24"/>
                <w:szCs w:val="24"/>
              </w:rPr>
            </w:pPr>
          </w:p>
        </w:tc>
      </w:tr>
      <w:tr w14:paraId="30A93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06397729">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4A66D89E">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62C5545E">
            <w:pPr>
              <w:jc w:val="center"/>
              <w:rPr>
                <w:rFonts w:ascii="仿宋" w:hAnsi="仿宋" w:eastAsia="仿宋" w:cs="仿宋"/>
                <w:sz w:val="24"/>
                <w:szCs w:val="24"/>
              </w:rPr>
            </w:pPr>
            <w:r>
              <w:rPr>
                <w:rFonts w:hint="eastAsia" w:ascii="仿宋" w:hAnsi="仿宋" w:eastAsia="仿宋" w:cs="仿宋"/>
                <w:sz w:val="24"/>
                <w:szCs w:val="24"/>
              </w:rPr>
              <w:t>9</w:t>
            </w:r>
          </w:p>
        </w:tc>
        <w:tc>
          <w:tcPr>
            <w:tcW w:w="3799" w:type="dxa"/>
            <w:tcBorders>
              <w:top w:val="nil"/>
              <w:left w:val="single" w:color="000000" w:sz="4" w:space="0"/>
              <w:bottom w:val="single" w:color="000000" w:sz="4" w:space="0"/>
              <w:right w:val="single" w:color="000000" w:sz="4" w:space="0"/>
            </w:tcBorders>
          </w:tcPr>
          <w:p w14:paraId="4BCBE6F9">
            <w:pPr>
              <w:rPr>
                <w:rFonts w:ascii="仿宋" w:hAnsi="仿宋" w:eastAsia="仿宋" w:cs="仿宋"/>
                <w:sz w:val="24"/>
                <w:szCs w:val="24"/>
              </w:rPr>
            </w:pPr>
            <w:r>
              <w:rPr>
                <w:rFonts w:hint="eastAsia" w:ascii="仿宋" w:hAnsi="仿宋" w:eastAsia="仿宋" w:cs="仿宋"/>
                <w:sz w:val="24"/>
                <w:szCs w:val="24"/>
              </w:rPr>
              <w:t>工作安全措施落实到位，有安全工作监督机制，无安全隐患。</w:t>
            </w:r>
          </w:p>
        </w:tc>
        <w:tc>
          <w:tcPr>
            <w:tcW w:w="1432" w:type="dxa"/>
            <w:vMerge w:val="continue"/>
            <w:tcBorders>
              <w:top w:val="nil"/>
              <w:left w:val="single" w:color="000000" w:sz="4" w:space="0"/>
              <w:bottom w:val="single" w:color="000000" w:sz="4" w:space="0"/>
              <w:right w:val="single" w:color="000000" w:sz="4" w:space="0"/>
            </w:tcBorders>
          </w:tcPr>
          <w:p w14:paraId="2695BE80">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6ACBA02A">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69D906FA">
            <w:pPr>
              <w:rPr>
                <w:rFonts w:ascii="仿宋" w:hAnsi="仿宋" w:eastAsia="仿宋" w:cs="仿宋"/>
                <w:sz w:val="24"/>
                <w:szCs w:val="24"/>
              </w:rPr>
            </w:pPr>
          </w:p>
        </w:tc>
      </w:tr>
      <w:tr w14:paraId="457BB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2EE682C8">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14:paraId="29B1A8B1">
            <w:pPr>
              <w:rPr>
                <w:rFonts w:ascii="仿宋" w:hAnsi="仿宋" w:eastAsia="仿宋" w:cs="仿宋"/>
                <w:sz w:val="24"/>
                <w:szCs w:val="24"/>
              </w:rPr>
            </w:pPr>
            <w:r>
              <w:rPr>
                <w:rFonts w:hint="eastAsia" w:ascii="仿宋" w:hAnsi="仿宋" w:eastAsia="仿宋" w:cs="仿宋"/>
                <w:sz w:val="24"/>
                <w:szCs w:val="24"/>
              </w:rPr>
              <w:t>公司配合情况</w:t>
            </w:r>
          </w:p>
        </w:tc>
        <w:tc>
          <w:tcPr>
            <w:tcW w:w="596" w:type="dxa"/>
            <w:tcBorders>
              <w:top w:val="nil"/>
              <w:left w:val="single" w:color="000000" w:sz="4" w:space="0"/>
              <w:bottom w:val="single" w:color="000000" w:sz="4" w:space="0"/>
              <w:right w:val="single" w:color="000000" w:sz="4" w:space="0"/>
            </w:tcBorders>
            <w:vAlign w:val="bottom"/>
          </w:tcPr>
          <w:p w14:paraId="4C77304A">
            <w:pPr>
              <w:jc w:val="center"/>
              <w:rPr>
                <w:rFonts w:ascii="仿宋" w:hAnsi="仿宋" w:eastAsia="仿宋" w:cs="仿宋"/>
                <w:sz w:val="24"/>
                <w:szCs w:val="24"/>
              </w:rPr>
            </w:pPr>
            <w:r>
              <w:rPr>
                <w:rFonts w:hint="eastAsia" w:ascii="仿宋" w:hAnsi="仿宋" w:eastAsia="仿宋" w:cs="仿宋"/>
                <w:sz w:val="24"/>
                <w:szCs w:val="24"/>
              </w:rPr>
              <w:t>10</w:t>
            </w:r>
          </w:p>
        </w:tc>
        <w:tc>
          <w:tcPr>
            <w:tcW w:w="3799" w:type="dxa"/>
            <w:tcBorders>
              <w:top w:val="nil"/>
              <w:left w:val="single" w:color="000000" w:sz="4" w:space="0"/>
              <w:bottom w:val="single" w:color="000000" w:sz="4" w:space="0"/>
              <w:right w:val="single" w:color="000000" w:sz="4" w:space="0"/>
            </w:tcBorders>
          </w:tcPr>
          <w:p w14:paraId="3E28EB4C">
            <w:pPr>
              <w:rPr>
                <w:rFonts w:ascii="仿宋" w:hAnsi="仿宋" w:eastAsia="仿宋" w:cs="仿宋"/>
                <w:sz w:val="24"/>
                <w:szCs w:val="24"/>
              </w:rPr>
            </w:pPr>
            <w:r>
              <w:rPr>
                <w:rFonts w:hint="eastAsia" w:ascii="仿宋" w:hAnsi="仿宋" w:eastAsia="仿宋" w:cs="仿宋"/>
                <w:sz w:val="24"/>
                <w:szCs w:val="24"/>
              </w:rPr>
              <w:t>及时向院方反馈设备隐患</w:t>
            </w:r>
          </w:p>
        </w:tc>
        <w:tc>
          <w:tcPr>
            <w:tcW w:w="1432" w:type="dxa"/>
            <w:vMerge w:val="continue"/>
            <w:tcBorders>
              <w:top w:val="nil"/>
              <w:left w:val="single" w:color="000000" w:sz="4" w:space="0"/>
              <w:bottom w:val="single" w:color="000000" w:sz="4" w:space="0"/>
              <w:right w:val="single" w:color="000000" w:sz="4" w:space="0"/>
            </w:tcBorders>
          </w:tcPr>
          <w:p w14:paraId="792896C0">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3AFE5D0A">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38BDB8AF">
            <w:pPr>
              <w:rPr>
                <w:rFonts w:ascii="仿宋" w:hAnsi="仿宋" w:eastAsia="仿宋" w:cs="仿宋"/>
                <w:sz w:val="24"/>
                <w:szCs w:val="24"/>
              </w:rPr>
            </w:pPr>
          </w:p>
        </w:tc>
      </w:tr>
      <w:tr w14:paraId="5C7BF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5A50CA6A">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668A2F12">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77AE8516">
            <w:pPr>
              <w:jc w:val="center"/>
              <w:rPr>
                <w:rFonts w:ascii="仿宋" w:hAnsi="仿宋" w:eastAsia="仿宋" w:cs="仿宋"/>
                <w:sz w:val="24"/>
                <w:szCs w:val="24"/>
              </w:rPr>
            </w:pPr>
            <w:r>
              <w:rPr>
                <w:rFonts w:hint="eastAsia" w:ascii="仿宋" w:hAnsi="仿宋" w:eastAsia="仿宋" w:cs="仿宋"/>
                <w:sz w:val="24"/>
                <w:szCs w:val="24"/>
              </w:rPr>
              <w:t>11</w:t>
            </w:r>
          </w:p>
        </w:tc>
        <w:tc>
          <w:tcPr>
            <w:tcW w:w="3799" w:type="dxa"/>
            <w:tcBorders>
              <w:top w:val="nil"/>
              <w:left w:val="single" w:color="000000" w:sz="4" w:space="0"/>
              <w:bottom w:val="single" w:color="000000" w:sz="4" w:space="0"/>
              <w:right w:val="single" w:color="000000" w:sz="4" w:space="0"/>
            </w:tcBorders>
          </w:tcPr>
          <w:p w14:paraId="10C78BA6">
            <w:pPr>
              <w:rPr>
                <w:rFonts w:ascii="仿宋" w:hAnsi="仿宋" w:eastAsia="仿宋" w:cs="仿宋"/>
                <w:sz w:val="24"/>
                <w:szCs w:val="24"/>
              </w:rPr>
            </w:pPr>
            <w:r>
              <w:rPr>
                <w:rFonts w:hint="eastAsia" w:ascii="仿宋" w:hAnsi="仿宋" w:eastAsia="仿宋" w:cs="仿宋"/>
                <w:sz w:val="24"/>
                <w:szCs w:val="24"/>
              </w:rPr>
              <w:t>配合院方开展节能管理工作</w:t>
            </w:r>
          </w:p>
        </w:tc>
        <w:tc>
          <w:tcPr>
            <w:tcW w:w="1432" w:type="dxa"/>
            <w:vMerge w:val="continue"/>
            <w:tcBorders>
              <w:top w:val="nil"/>
              <w:left w:val="single" w:color="000000" w:sz="4" w:space="0"/>
              <w:bottom w:val="single" w:color="000000" w:sz="4" w:space="0"/>
              <w:right w:val="single" w:color="000000" w:sz="4" w:space="0"/>
            </w:tcBorders>
          </w:tcPr>
          <w:p w14:paraId="7D44E1BB">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376E7C1D">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3323DB1E">
            <w:pPr>
              <w:rPr>
                <w:rFonts w:ascii="仿宋" w:hAnsi="仿宋" w:eastAsia="仿宋" w:cs="仿宋"/>
                <w:sz w:val="24"/>
                <w:szCs w:val="24"/>
              </w:rPr>
            </w:pPr>
          </w:p>
        </w:tc>
      </w:tr>
      <w:tr w14:paraId="6CCC36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6632BB90">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448621A2">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63259E99">
            <w:pPr>
              <w:jc w:val="center"/>
              <w:rPr>
                <w:rFonts w:ascii="仿宋" w:hAnsi="仿宋" w:eastAsia="仿宋" w:cs="仿宋"/>
                <w:sz w:val="24"/>
                <w:szCs w:val="24"/>
              </w:rPr>
            </w:pPr>
            <w:r>
              <w:rPr>
                <w:rFonts w:hint="eastAsia" w:ascii="仿宋" w:hAnsi="仿宋" w:eastAsia="仿宋" w:cs="仿宋"/>
                <w:sz w:val="24"/>
                <w:szCs w:val="24"/>
              </w:rPr>
              <w:t>12</w:t>
            </w:r>
          </w:p>
        </w:tc>
        <w:tc>
          <w:tcPr>
            <w:tcW w:w="3799" w:type="dxa"/>
            <w:tcBorders>
              <w:top w:val="nil"/>
              <w:left w:val="single" w:color="000000" w:sz="4" w:space="0"/>
              <w:bottom w:val="single" w:color="000000" w:sz="4" w:space="0"/>
              <w:right w:val="single" w:color="000000" w:sz="4" w:space="0"/>
            </w:tcBorders>
          </w:tcPr>
          <w:p w14:paraId="152B2C91">
            <w:pPr>
              <w:rPr>
                <w:rFonts w:ascii="仿宋" w:hAnsi="仿宋" w:eastAsia="仿宋" w:cs="仿宋"/>
                <w:sz w:val="24"/>
                <w:szCs w:val="24"/>
              </w:rPr>
            </w:pPr>
            <w:r>
              <w:rPr>
                <w:rFonts w:hint="eastAsia" w:ascii="仿宋" w:hAnsi="仿宋" w:eastAsia="仿宋" w:cs="仿宋"/>
                <w:sz w:val="24"/>
                <w:szCs w:val="24"/>
              </w:rPr>
              <w:t>管理人员及时跟进及回复报修情况</w:t>
            </w:r>
          </w:p>
        </w:tc>
        <w:tc>
          <w:tcPr>
            <w:tcW w:w="1432" w:type="dxa"/>
            <w:vMerge w:val="continue"/>
            <w:tcBorders>
              <w:top w:val="nil"/>
              <w:left w:val="single" w:color="000000" w:sz="4" w:space="0"/>
              <w:bottom w:val="single" w:color="000000" w:sz="4" w:space="0"/>
              <w:right w:val="single" w:color="000000" w:sz="4" w:space="0"/>
            </w:tcBorders>
          </w:tcPr>
          <w:p w14:paraId="1D93AE13">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7285DCD8">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04871193">
            <w:pPr>
              <w:rPr>
                <w:rFonts w:ascii="仿宋" w:hAnsi="仿宋" w:eastAsia="仿宋" w:cs="仿宋"/>
                <w:sz w:val="24"/>
                <w:szCs w:val="24"/>
              </w:rPr>
            </w:pPr>
          </w:p>
        </w:tc>
      </w:tr>
      <w:tr w14:paraId="604BB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restart"/>
            <w:tcBorders>
              <w:top w:val="nil"/>
              <w:left w:val="single" w:color="000000" w:sz="4" w:space="0"/>
              <w:bottom w:val="single" w:color="000000" w:sz="4" w:space="0"/>
              <w:right w:val="single" w:color="000000" w:sz="4" w:space="0"/>
            </w:tcBorders>
          </w:tcPr>
          <w:p w14:paraId="5E741BB8">
            <w:pPr>
              <w:rPr>
                <w:rFonts w:ascii="仿宋" w:hAnsi="仿宋" w:eastAsia="仿宋" w:cs="仿宋"/>
                <w:sz w:val="24"/>
                <w:szCs w:val="24"/>
              </w:rPr>
            </w:pPr>
            <w:r>
              <w:rPr>
                <w:rFonts w:hint="eastAsia" w:ascii="仿宋" w:hAnsi="仿宋" w:eastAsia="仿宋" w:cs="仿宋"/>
                <w:b/>
                <w:sz w:val="24"/>
                <w:szCs w:val="24"/>
              </w:rPr>
              <w:t>技术方面（45分）</w:t>
            </w:r>
          </w:p>
        </w:tc>
        <w:tc>
          <w:tcPr>
            <w:tcW w:w="763" w:type="dxa"/>
            <w:vMerge w:val="restart"/>
            <w:tcBorders>
              <w:top w:val="nil"/>
              <w:left w:val="single" w:color="000000" w:sz="4" w:space="0"/>
              <w:bottom w:val="single" w:color="000000" w:sz="4" w:space="0"/>
              <w:right w:val="single" w:color="000000" w:sz="4" w:space="0"/>
            </w:tcBorders>
          </w:tcPr>
          <w:p w14:paraId="433A997F">
            <w:pPr>
              <w:jc w:val="center"/>
              <w:rPr>
                <w:rFonts w:ascii="仿宋" w:hAnsi="仿宋" w:eastAsia="仿宋" w:cs="仿宋"/>
                <w:sz w:val="24"/>
                <w:szCs w:val="24"/>
              </w:rPr>
            </w:pPr>
            <w:r>
              <w:rPr>
                <w:rFonts w:hint="eastAsia" w:ascii="仿宋" w:hAnsi="仿宋" w:eastAsia="仿宋" w:cs="仿宋"/>
                <w:sz w:val="24"/>
                <w:szCs w:val="24"/>
              </w:rPr>
              <w:t>人员技能</w:t>
            </w:r>
          </w:p>
          <w:p w14:paraId="27D084F5">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61B178E5">
            <w:pPr>
              <w:jc w:val="center"/>
              <w:rPr>
                <w:rFonts w:ascii="仿宋" w:hAnsi="仿宋" w:eastAsia="仿宋" w:cs="仿宋"/>
                <w:sz w:val="24"/>
                <w:szCs w:val="24"/>
              </w:rPr>
            </w:pPr>
            <w:r>
              <w:rPr>
                <w:rFonts w:hint="eastAsia" w:ascii="仿宋" w:hAnsi="仿宋" w:eastAsia="仿宋" w:cs="仿宋"/>
                <w:sz w:val="24"/>
                <w:szCs w:val="24"/>
              </w:rPr>
              <w:t>1</w:t>
            </w:r>
          </w:p>
        </w:tc>
        <w:tc>
          <w:tcPr>
            <w:tcW w:w="3799" w:type="dxa"/>
            <w:tcBorders>
              <w:top w:val="nil"/>
              <w:left w:val="single" w:color="000000" w:sz="4" w:space="0"/>
              <w:bottom w:val="single" w:color="000000" w:sz="4" w:space="0"/>
              <w:right w:val="single" w:color="000000" w:sz="4" w:space="0"/>
            </w:tcBorders>
          </w:tcPr>
          <w:p w14:paraId="50BED105">
            <w:pPr>
              <w:rPr>
                <w:rFonts w:ascii="仿宋" w:hAnsi="仿宋" w:eastAsia="仿宋" w:cs="仿宋"/>
                <w:sz w:val="24"/>
                <w:szCs w:val="24"/>
              </w:rPr>
            </w:pPr>
            <w:r>
              <w:rPr>
                <w:rFonts w:hint="eastAsia" w:ascii="仿宋" w:hAnsi="仿宋" w:eastAsia="仿宋" w:cs="仿宋"/>
                <w:sz w:val="24"/>
                <w:szCs w:val="24"/>
              </w:rPr>
              <w:t>定期组织安全培训</w:t>
            </w:r>
          </w:p>
        </w:tc>
        <w:tc>
          <w:tcPr>
            <w:tcW w:w="1432" w:type="dxa"/>
            <w:vMerge w:val="restart"/>
            <w:tcBorders>
              <w:top w:val="nil"/>
              <w:left w:val="single" w:color="000000" w:sz="4" w:space="0"/>
              <w:bottom w:val="single" w:color="000000" w:sz="4" w:space="0"/>
              <w:right w:val="single" w:color="000000" w:sz="4" w:space="0"/>
            </w:tcBorders>
          </w:tcPr>
          <w:p w14:paraId="00F3C1D9">
            <w:pPr>
              <w:rPr>
                <w:rFonts w:ascii="仿宋" w:hAnsi="仿宋" w:eastAsia="仿宋" w:cs="仿宋"/>
                <w:sz w:val="24"/>
                <w:szCs w:val="24"/>
              </w:rPr>
            </w:pPr>
            <w:r>
              <w:rPr>
                <w:rFonts w:hint="eastAsia" w:ascii="仿宋" w:hAnsi="仿宋" w:eastAsia="仿宋" w:cs="仿宋"/>
                <w:sz w:val="24"/>
                <w:szCs w:val="24"/>
              </w:rPr>
              <w:t>总分45分，公司某个评分点服务不到位的，可酌情扣分。</w:t>
            </w:r>
          </w:p>
        </w:tc>
        <w:tc>
          <w:tcPr>
            <w:tcW w:w="680" w:type="dxa"/>
            <w:tcBorders>
              <w:top w:val="nil"/>
              <w:left w:val="single" w:color="000000" w:sz="4" w:space="0"/>
              <w:bottom w:val="single" w:color="000000" w:sz="4" w:space="0"/>
              <w:right w:val="single" w:color="000000" w:sz="4" w:space="0"/>
            </w:tcBorders>
          </w:tcPr>
          <w:p w14:paraId="41D556A9">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35E2E828">
            <w:pPr>
              <w:rPr>
                <w:rFonts w:ascii="仿宋" w:hAnsi="仿宋" w:eastAsia="仿宋" w:cs="仿宋"/>
                <w:sz w:val="24"/>
                <w:szCs w:val="24"/>
              </w:rPr>
            </w:pPr>
          </w:p>
        </w:tc>
      </w:tr>
      <w:tr w14:paraId="4C765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26F4E0A5">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4E94C0A8">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02AC5D11">
            <w:pPr>
              <w:jc w:val="center"/>
              <w:rPr>
                <w:rFonts w:ascii="仿宋" w:hAnsi="仿宋" w:eastAsia="仿宋" w:cs="仿宋"/>
                <w:sz w:val="24"/>
                <w:szCs w:val="24"/>
              </w:rPr>
            </w:pPr>
            <w:r>
              <w:rPr>
                <w:rFonts w:hint="eastAsia" w:ascii="仿宋" w:hAnsi="仿宋" w:eastAsia="仿宋" w:cs="仿宋"/>
                <w:sz w:val="24"/>
                <w:szCs w:val="24"/>
              </w:rPr>
              <w:t>2</w:t>
            </w:r>
          </w:p>
        </w:tc>
        <w:tc>
          <w:tcPr>
            <w:tcW w:w="3799" w:type="dxa"/>
            <w:tcBorders>
              <w:top w:val="nil"/>
              <w:left w:val="single" w:color="000000" w:sz="4" w:space="0"/>
              <w:bottom w:val="single" w:color="000000" w:sz="4" w:space="0"/>
              <w:right w:val="single" w:color="000000" w:sz="4" w:space="0"/>
            </w:tcBorders>
          </w:tcPr>
          <w:p w14:paraId="37F35B6B">
            <w:pPr>
              <w:rPr>
                <w:rFonts w:ascii="仿宋" w:hAnsi="仿宋" w:eastAsia="仿宋" w:cs="仿宋"/>
                <w:sz w:val="24"/>
                <w:szCs w:val="24"/>
              </w:rPr>
            </w:pPr>
            <w:r>
              <w:rPr>
                <w:rFonts w:hint="eastAsia" w:ascii="仿宋" w:hAnsi="仿宋" w:eastAsia="仿宋" w:cs="仿宋"/>
                <w:sz w:val="24"/>
                <w:szCs w:val="24"/>
              </w:rPr>
              <w:t>维保人员持证上岗</w:t>
            </w:r>
          </w:p>
        </w:tc>
        <w:tc>
          <w:tcPr>
            <w:tcW w:w="1432" w:type="dxa"/>
            <w:vMerge w:val="continue"/>
            <w:tcBorders>
              <w:top w:val="nil"/>
              <w:left w:val="single" w:color="000000" w:sz="4" w:space="0"/>
              <w:bottom w:val="single" w:color="000000" w:sz="4" w:space="0"/>
              <w:right w:val="single" w:color="000000" w:sz="4" w:space="0"/>
            </w:tcBorders>
          </w:tcPr>
          <w:p w14:paraId="4EA3016A">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0B1D5A3E">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02B7AAE1">
            <w:pPr>
              <w:rPr>
                <w:rFonts w:ascii="仿宋" w:hAnsi="仿宋" w:eastAsia="仿宋" w:cs="仿宋"/>
                <w:sz w:val="24"/>
                <w:szCs w:val="24"/>
              </w:rPr>
            </w:pPr>
          </w:p>
        </w:tc>
      </w:tr>
      <w:tr w14:paraId="3EDFB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17755805">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14:paraId="50EDAA23">
            <w:pPr>
              <w:jc w:val="center"/>
              <w:rPr>
                <w:rFonts w:ascii="仿宋" w:hAnsi="仿宋" w:eastAsia="仿宋" w:cs="仿宋"/>
                <w:sz w:val="24"/>
                <w:szCs w:val="24"/>
              </w:rPr>
            </w:pPr>
            <w:r>
              <w:rPr>
                <w:rFonts w:hint="eastAsia" w:ascii="仿宋" w:hAnsi="仿宋" w:eastAsia="仿宋" w:cs="仿宋"/>
                <w:sz w:val="24"/>
                <w:szCs w:val="24"/>
              </w:rPr>
              <w:t>设备维保</w:t>
            </w:r>
          </w:p>
          <w:p w14:paraId="3B50DBB5">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3002AB7A">
            <w:pPr>
              <w:jc w:val="center"/>
              <w:rPr>
                <w:rFonts w:ascii="仿宋" w:hAnsi="仿宋" w:eastAsia="仿宋" w:cs="仿宋"/>
                <w:sz w:val="24"/>
                <w:szCs w:val="24"/>
                <w:lang w:eastAsia="zh-CN"/>
              </w:rPr>
            </w:pPr>
            <w:r>
              <w:rPr>
                <w:rFonts w:hint="eastAsia" w:ascii="仿宋" w:hAnsi="仿宋" w:eastAsia="仿宋" w:cs="仿宋"/>
                <w:sz w:val="24"/>
                <w:szCs w:val="24"/>
                <w:lang w:eastAsia="zh-CN"/>
              </w:rPr>
              <w:t>3</w:t>
            </w:r>
          </w:p>
        </w:tc>
        <w:tc>
          <w:tcPr>
            <w:tcW w:w="3799" w:type="dxa"/>
            <w:tcBorders>
              <w:top w:val="nil"/>
              <w:left w:val="single" w:color="000000" w:sz="4" w:space="0"/>
              <w:bottom w:val="single" w:color="000000" w:sz="4" w:space="0"/>
              <w:right w:val="single" w:color="000000" w:sz="4" w:space="0"/>
            </w:tcBorders>
          </w:tcPr>
          <w:p w14:paraId="06A5C793">
            <w:pPr>
              <w:rPr>
                <w:rFonts w:ascii="仿宋" w:hAnsi="仿宋" w:eastAsia="仿宋" w:cs="仿宋"/>
                <w:sz w:val="24"/>
                <w:szCs w:val="24"/>
              </w:rPr>
            </w:pPr>
            <w:r>
              <w:rPr>
                <w:rFonts w:hint="eastAsia" w:ascii="仿宋" w:hAnsi="仿宋" w:eastAsia="仿宋" w:cs="仿宋"/>
                <w:sz w:val="24"/>
                <w:szCs w:val="24"/>
              </w:rPr>
              <w:t>按时提交保养计划</w:t>
            </w:r>
          </w:p>
        </w:tc>
        <w:tc>
          <w:tcPr>
            <w:tcW w:w="1432" w:type="dxa"/>
            <w:vMerge w:val="continue"/>
            <w:tcBorders>
              <w:top w:val="nil"/>
              <w:left w:val="single" w:color="000000" w:sz="4" w:space="0"/>
              <w:bottom w:val="single" w:color="000000" w:sz="4" w:space="0"/>
              <w:right w:val="single" w:color="000000" w:sz="4" w:space="0"/>
            </w:tcBorders>
          </w:tcPr>
          <w:p w14:paraId="095588B0">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150BE415">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0783CF35">
            <w:pPr>
              <w:rPr>
                <w:rFonts w:ascii="仿宋" w:hAnsi="仿宋" w:eastAsia="仿宋" w:cs="仿宋"/>
                <w:sz w:val="24"/>
                <w:szCs w:val="24"/>
              </w:rPr>
            </w:pPr>
          </w:p>
        </w:tc>
      </w:tr>
      <w:tr w14:paraId="195CA2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532B6AB1">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5CEA8F75">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7B257BE2">
            <w:pPr>
              <w:jc w:val="center"/>
              <w:rPr>
                <w:rFonts w:ascii="仿宋" w:hAnsi="仿宋" w:eastAsia="仿宋" w:cs="仿宋"/>
                <w:sz w:val="24"/>
                <w:szCs w:val="24"/>
                <w:lang w:eastAsia="zh-CN"/>
              </w:rPr>
            </w:pPr>
            <w:r>
              <w:rPr>
                <w:rFonts w:hint="eastAsia" w:ascii="仿宋" w:hAnsi="仿宋" w:eastAsia="仿宋" w:cs="仿宋"/>
                <w:sz w:val="24"/>
                <w:szCs w:val="24"/>
                <w:lang w:eastAsia="zh-CN"/>
              </w:rPr>
              <w:t>4</w:t>
            </w:r>
          </w:p>
        </w:tc>
        <w:tc>
          <w:tcPr>
            <w:tcW w:w="3799" w:type="dxa"/>
            <w:tcBorders>
              <w:top w:val="nil"/>
              <w:left w:val="single" w:color="000000" w:sz="4" w:space="0"/>
              <w:bottom w:val="single" w:color="000000" w:sz="4" w:space="0"/>
              <w:right w:val="single" w:color="000000" w:sz="4" w:space="0"/>
            </w:tcBorders>
          </w:tcPr>
          <w:p w14:paraId="5EB6D8E5">
            <w:pPr>
              <w:rPr>
                <w:rFonts w:ascii="仿宋" w:hAnsi="仿宋" w:eastAsia="仿宋" w:cs="仿宋"/>
                <w:sz w:val="24"/>
                <w:szCs w:val="24"/>
              </w:rPr>
            </w:pPr>
            <w:r>
              <w:rPr>
                <w:rFonts w:hint="eastAsia" w:ascii="仿宋" w:hAnsi="仿宋" w:eastAsia="仿宋" w:cs="仿宋"/>
                <w:sz w:val="24"/>
                <w:szCs w:val="24"/>
              </w:rPr>
              <w:t>按时完成设备维保及提交维保资料</w:t>
            </w:r>
          </w:p>
        </w:tc>
        <w:tc>
          <w:tcPr>
            <w:tcW w:w="1432" w:type="dxa"/>
            <w:vMerge w:val="continue"/>
            <w:tcBorders>
              <w:top w:val="nil"/>
              <w:left w:val="single" w:color="000000" w:sz="4" w:space="0"/>
              <w:bottom w:val="single" w:color="000000" w:sz="4" w:space="0"/>
              <w:right w:val="single" w:color="000000" w:sz="4" w:space="0"/>
            </w:tcBorders>
          </w:tcPr>
          <w:p w14:paraId="35D3EADD">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058AA206">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5120E972">
            <w:pPr>
              <w:rPr>
                <w:rFonts w:ascii="仿宋" w:hAnsi="仿宋" w:eastAsia="仿宋" w:cs="仿宋"/>
                <w:sz w:val="24"/>
                <w:szCs w:val="24"/>
              </w:rPr>
            </w:pPr>
          </w:p>
        </w:tc>
      </w:tr>
      <w:tr w14:paraId="33FD29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1559F5C9">
            <w:pPr>
              <w:rPr>
                <w:rFonts w:ascii="仿宋" w:hAnsi="仿宋" w:eastAsia="仿宋" w:cs="仿宋"/>
                <w:sz w:val="24"/>
                <w:szCs w:val="24"/>
              </w:rPr>
            </w:pPr>
          </w:p>
        </w:tc>
        <w:tc>
          <w:tcPr>
            <w:tcW w:w="763" w:type="dxa"/>
            <w:vMerge w:val="restart"/>
            <w:tcBorders>
              <w:top w:val="nil"/>
              <w:left w:val="single" w:color="000000" w:sz="4" w:space="0"/>
              <w:bottom w:val="single" w:color="000000" w:sz="4" w:space="0"/>
              <w:right w:val="single" w:color="000000" w:sz="4" w:space="0"/>
            </w:tcBorders>
          </w:tcPr>
          <w:p w14:paraId="2C1D388C">
            <w:pPr>
              <w:jc w:val="center"/>
              <w:rPr>
                <w:rFonts w:ascii="仿宋" w:hAnsi="仿宋" w:eastAsia="仿宋" w:cs="仿宋"/>
                <w:sz w:val="24"/>
                <w:szCs w:val="24"/>
              </w:rPr>
            </w:pPr>
            <w:r>
              <w:rPr>
                <w:rFonts w:hint="eastAsia" w:ascii="仿宋" w:hAnsi="仿宋" w:eastAsia="仿宋" w:cs="仿宋"/>
                <w:sz w:val="24"/>
                <w:szCs w:val="24"/>
              </w:rPr>
              <w:t>设备状况</w:t>
            </w:r>
          </w:p>
        </w:tc>
        <w:tc>
          <w:tcPr>
            <w:tcW w:w="596" w:type="dxa"/>
            <w:tcBorders>
              <w:top w:val="nil"/>
              <w:left w:val="single" w:color="000000" w:sz="4" w:space="0"/>
              <w:bottom w:val="single" w:color="000000" w:sz="4" w:space="0"/>
              <w:right w:val="single" w:color="000000" w:sz="4" w:space="0"/>
            </w:tcBorders>
            <w:vAlign w:val="bottom"/>
          </w:tcPr>
          <w:p w14:paraId="363B1893">
            <w:pPr>
              <w:jc w:val="center"/>
              <w:rPr>
                <w:rFonts w:ascii="仿宋" w:hAnsi="仿宋" w:eastAsia="仿宋" w:cs="仿宋"/>
                <w:sz w:val="24"/>
                <w:szCs w:val="24"/>
                <w:lang w:eastAsia="zh-CN"/>
              </w:rPr>
            </w:pPr>
            <w:r>
              <w:rPr>
                <w:rFonts w:hint="eastAsia" w:ascii="仿宋" w:hAnsi="仿宋" w:eastAsia="仿宋" w:cs="仿宋"/>
                <w:sz w:val="24"/>
                <w:szCs w:val="24"/>
                <w:lang w:eastAsia="zh-CN"/>
              </w:rPr>
              <w:t>5</w:t>
            </w:r>
          </w:p>
        </w:tc>
        <w:tc>
          <w:tcPr>
            <w:tcW w:w="3799" w:type="dxa"/>
            <w:tcBorders>
              <w:top w:val="nil"/>
              <w:left w:val="single" w:color="000000" w:sz="4" w:space="0"/>
              <w:bottom w:val="single" w:color="000000" w:sz="4" w:space="0"/>
              <w:right w:val="single" w:color="000000" w:sz="4" w:space="0"/>
            </w:tcBorders>
          </w:tcPr>
          <w:p w14:paraId="3BEE4FA5">
            <w:pPr>
              <w:rPr>
                <w:rFonts w:ascii="仿宋" w:hAnsi="仿宋" w:eastAsia="仿宋" w:cs="仿宋"/>
                <w:sz w:val="24"/>
                <w:szCs w:val="24"/>
              </w:rPr>
            </w:pPr>
            <w:r>
              <w:rPr>
                <w:rFonts w:hint="eastAsia" w:ascii="仿宋" w:hAnsi="仿宋" w:eastAsia="仿宋" w:cs="仿宋"/>
                <w:sz w:val="24"/>
                <w:szCs w:val="24"/>
                <w:lang w:eastAsia="zh-CN"/>
              </w:rPr>
              <w:t>电梯</w:t>
            </w:r>
            <w:r>
              <w:rPr>
                <w:rFonts w:hint="eastAsia" w:ascii="仿宋" w:hAnsi="仿宋" w:eastAsia="仿宋" w:cs="仿宋"/>
                <w:sz w:val="24"/>
                <w:szCs w:val="24"/>
              </w:rPr>
              <w:t>运行状况是否良好</w:t>
            </w:r>
          </w:p>
        </w:tc>
        <w:tc>
          <w:tcPr>
            <w:tcW w:w="1432" w:type="dxa"/>
            <w:vMerge w:val="continue"/>
            <w:tcBorders>
              <w:top w:val="nil"/>
              <w:left w:val="single" w:color="000000" w:sz="4" w:space="0"/>
              <w:bottom w:val="single" w:color="000000" w:sz="4" w:space="0"/>
              <w:right w:val="single" w:color="000000" w:sz="4" w:space="0"/>
            </w:tcBorders>
          </w:tcPr>
          <w:p w14:paraId="5873C943">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754472FC">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17CFD9C9">
            <w:pPr>
              <w:rPr>
                <w:rFonts w:ascii="仿宋" w:hAnsi="仿宋" w:eastAsia="仿宋" w:cs="仿宋"/>
                <w:sz w:val="24"/>
                <w:szCs w:val="24"/>
              </w:rPr>
            </w:pPr>
          </w:p>
        </w:tc>
      </w:tr>
      <w:tr w14:paraId="3A59FA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9" w:type="dxa"/>
            <w:vMerge w:val="continue"/>
            <w:tcBorders>
              <w:top w:val="nil"/>
              <w:left w:val="single" w:color="000000" w:sz="4" w:space="0"/>
              <w:bottom w:val="single" w:color="000000" w:sz="4" w:space="0"/>
              <w:right w:val="single" w:color="000000" w:sz="4" w:space="0"/>
            </w:tcBorders>
          </w:tcPr>
          <w:p w14:paraId="0E0C29D0">
            <w:pPr>
              <w:rPr>
                <w:rFonts w:ascii="仿宋" w:hAnsi="仿宋" w:eastAsia="仿宋" w:cs="仿宋"/>
                <w:sz w:val="24"/>
                <w:szCs w:val="24"/>
              </w:rPr>
            </w:pPr>
          </w:p>
        </w:tc>
        <w:tc>
          <w:tcPr>
            <w:tcW w:w="763" w:type="dxa"/>
            <w:vMerge w:val="continue"/>
            <w:tcBorders>
              <w:top w:val="nil"/>
              <w:left w:val="single" w:color="000000" w:sz="4" w:space="0"/>
              <w:bottom w:val="single" w:color="000000" w:sz="4" w:space="0"/>
              <w:right w:val="single" w:color="000000" w:sz="4" w:space="0"/>
            </w:tcBorders>
          </w:tcPr>
          <w:p w14:paraId="15AB9069">
            <w:pPr>
              <w:rPr>
                <w:rFonts w:ascii="仿宋" w:hAnsi="仿宋" w:eastAsia="仿宋" w:cs="仿宋"/>
                <w:sz w:val="24"/>
                <w:szCs w:val="24"/>
              </w:rPr>
            </w:pPr>
          </w:p>
        </w:tc>
        <w:tc>
          <w:tcPr>
            <w:tcW w:w="596" w:type="dxa"/>
            <w:tcBorders>
              <w:top w:val="nil"/>
              <w:left w:val="single" w:color="000000" w:sz="4" w:space="0"/>
              <w:bottom w:val="single" w:color="000000" w:sz="4" w:space="0"/>
              <w:right w:val="single" w:color="000000" w:sz="4" w:space="0"/>
            </w:tcBorders>
            <w:vAlign w:val="bottom"/>
          </w:tcPr>
          <w:p w14:paraId="778F384B">
            <w:pPr>
              <w:jc w:val="center"/>
              <w:rPr>
                <w:rFonts w:ascii="仿宋" w:hAnsi="仿宋" w:eastAsia="仿宋" w:cs="仿宋"/>
                <w:sz w:val="24"/>
                <w:szCs w:val="24"/>
                <w:lang w:eastAsia="zh-CN"/>
              </w:rPr>
            </w:pPr>
            <w:r>
              <w:rPr>
                <w:rFonts w:hint="eastAsia" w:ascii="仿宋" w:hAnsi="仿宋" w:eastAsia="仿宋" w:cs="仿宋"/>
                <w:sz w:val="24"/>
                <w:szCs w:val="24"/>
                <w:lang w:eastAsia="zh-CN"/>
              </w:rPr>
              <w:t>6</w:t>
            </w:r>
          </w:p>
        </w:tc>
        <w:tc>
          <w:tcPr>
            <w:tcW w:w="3799" w:type="dxa"/>
            <w:tcBorders>
              <w:top w:val="nil"/>
              <w:left w:val="single" w:color="000000" w:sz="4" w:space="0"/>
              <w:bottom w:val="single" w:color="000000" w:sz="4" w:space="0"/>
              <w:right w:val="single" w:color="000000" w:sz="4" w:space="0"/>
            </w:tcBorders>
          </w:tcPr>
          <w:p w14:paraId="263B18FD">
            <w:pPr>
              <w:rPr>
                <w:rFonts w:ascii="仿宋" w:hAnsi="仿宋" w:eastAsia="仿宋" w:cs="仿宋"/>
                <w:sz w:val="24"/>
                <w:szCs w:val="24"/>
              </w:rPr>
            </w:pPr>
            <w:r>
              <w:rPr>
                <w:rFonts w:hint="eastAsia" w:ascii="仿宋" w:hAnsi="仿宋" w:eastAsia="仿宋" w:cs="仿宋"/>
                <w:sz w:val="24"/>
                <w:szCs w:val="24"/>
              </w:rPr>
              <w:t>扶梯运行状况是否良好</w:t>
            </w:r>
          </w:p>
        </w:tc>
        <w:tc>
          <w:tcPr>
            <w:tcW w:w="1432" w:type="dxa"/>
            <w:vMerge w:val="continue"/>
            <w:tcBorders>
              <w:top w:val="nil"/>
              <w:left w:val="single" w:color="000000" w:sz="4" w:space="0"/>
              <w:bottom w:val="single" w:color="000000" w:sz="4" w:space="0"/>
              <w:right w:val="single" w:color="000000" w:sz="4" w:space="0"/>
            </w:tcBorders>
          </w:tcPr>
          <w:p w14:paraId="3F58268D">
            <w:pPr>
              <w:rPr>
                <w:rFonts w:ascii="仿宋" w:hAnsi="仿宋" w:eastAsia="仿宋" w:cs="仿宋"/>
                <w:sz w:val="24"/>
                <w:szCs w:val="24"/>
              </w:rPr>
            </w:pPr>
          </w:p>
        </w:tc>
        <w:tc>
          <w:tcPr>
            <w:tcW w:w="680" w:type="dxa"/>
            <w:tcBorders>
              <w:top w:val="nil"/>
              <w:left w:val="single" w:color="000000" w:sz="4" w:space="0"/>
              <w:bottom w:val="single" w:color="000000" w:sz="4" w:space="0"/>
              <w:right w:val="single" w:color="000000" w:sz="4" w:space="0"/>
            </w:tcBorders>
          </w:tcPr>
          <w:p w14:paraId="533C9BFC">
            <w:pPr>
              <w:rPr>
                <w:rFonts w:ascii="仿宋" w:hAnsi="仿宋" w:eastAsia="仿宋" w:cs="仿宋"/>
                <w:sz w:val="24"/>
                <w:szCs w:val="24"/>
              </w:rPr>
            </w:pPr>
          </w:p>
        </w:tc>
        <w:tc>
          <w:tcPr>
            <w:tcW w:w="1590" w:type="dxa"/>
            <w:tcBorders>
              <w:top w:val="nil"/>
              <w:left w:val="single" w:color="000000" w:sz="4" w:space="0"/>
              <w:bottom w:val="single" w:color="000000" w:sz="4" w:space="0"/>
              <w:right w:val="single" w:color="000000" w:sz="4" w:space="0"/>
            </w:tcBorders>
          </w:tcPr>
          <w:p w14:paraId="1956FDFD">
            <w:pPr>
              <w:rPr>
                <w:rFonts w:ascii="仿宋" w:hAnsi="仿宋" w:eastAsia="仿宋" w:cs="仿宋"/>
                <w:sz w:val="24"/>
                <w:szCs w:val="24"/>
              </w:rPr>
            </w:pPr>
          </w:p>
        </w:tc>
      </w:tr>
      <w:tr w14:paraId="6CA640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857" w:type="dxa"/>
            <w:gridSpan w:val="4"/>
            <w:tcBorders>
              <w:top w:val="nil"/>
              <w:left w:val="single" w:color="000000" w:sz="4" w:space="0"/>
              <w:bottom w:val="single" w:color="000000" w:sz="4" w:space="0"/>
              <w:right w:val="single" w:color="000000" w:sz="4" w:space="0"/>
            </w:tcBorders>
          </w:tcPr>
          <w:p w14:paraId="6B04CE6F">
            <w:pPr>
              <w:rPr>
                <w:rFonts w:ascii="仿宋" w:hAnsi="仿宋" w:eastAsia="仿宋" w:cs="仿宋"/>
                <w:sz w:val="24"/>
                <w:szCs w:val="24"/>
              </w:rPr>
            </w:pPr>
            <w:r>
              <w:rPr>
                <w:rFonts w:hint="eastAsia" w:ascii="仿宋" w:hAnsi="仿宋" w:eastAsia="仿宋" w:cs="仿宋"/>
                <w:sz w:val="24"/>
                <w:szCs w:val="24"/>
              </w:rPr>
              <w:t>总得分</w:t>
            </w:r>
          </w:p>
        </w:tc>
        <w:tc>
          <w:tcPr>
            <w:tcW w:w="3702" w:type="dxa"/>
            <w:gridSpan w:val="3"/>
            <w:tcBorders>
              <w:top w:val="nil"/>
              <w:left w:val="single" w:color="000000" w:sz="4" w:space="0"/>
              <w:bottom w:val="single" w:color="000000" w:sz="4" w:space="0"/>
              <w:right w:val="single" w:color="000000" w:sz="4" w:space="0"/>
            </w:tcBorders>
          </w:tcPr>
          <w:p w14:paraId="723BEC76">
            <w:pPr>
              <w:rPr>
                <w:rFonts w:ascii="仿宋" w:hAnsi="仿宋" w:eastAsia="仿宋" w:cs="仿宋"/>
                <w:sz w:val="24"/>
                <w:szCs w:val="24"/>
              </w:rPr>
            </w:pPr>
          </w:p>
        </w:tc>
      </w:tr>
      <w:tr w14:paraId="1F086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559" w:type="dxa"/>
            <w:gridSpan w:val="7"/>
            <w:tcBorders>
              <w:top w:val="nil"/>
              <w:left w:val="single" w:color="000000" w:sz="4" w:space="0"/>
              <w:bottom w:val="single" w:color="000000" w:sz="4" w:space="0"/>
              <w:right w:val="single" w:color="000000" w:sz="4" w:space="0"/>
            </w:tcBorders>
          </w:tcPr>
          <w:p w14:paraId="20063705">
            <w:pPr>
              <w:rPr>
                <w:rFonts w:ascii="仿宋" w:hAnsi="仿宋" w:eastAsia="仿宋" w:cs="仿宋"/>
                <w:sz w:val="24"/>
                <w:szCs w:val="24"/>
              </w:rPr>
            </w:pPr>
            <w:r>
              <w:rPr>
                <w:rFonts w:hint="eastAsia" w:ascii="仿宋" w:hAnsi="仿宋" w:eastAsia="仿宋" w:cs="仿宋"/>
                <w:sz w:val="24"/>
                <w:szCs w:val="24"/>
              </w:rPr>
              <w:t>填表说明：</w:t>
            </w:r>
          </w:p>
          <w:p w14:paraId="6257549F">
            <w:pPr>
              <w:rPr>
                <w:rFonts w:ascii="仿宋" w:hAnsi="仿宋" w:eastAsia="仿宋" w:cs="仿宋"/>
                <w:sz w:val="24"/>
                <w:szCs w:val="24"/>
              </w:rPr>
            </w:pPr>
            <w:r>
              <w:rPr>
                <w:rFonts w:hint="eastAsia" w:ascii="仿宋" w:hAnsi="仿宋" w:eastAsia="仿宋" w:cs="仿宋"/>
                <w:sz w:val="24"/>
                <w:szCs w:val="24"/>
              </w:rPr>
              <w:t>1、本表由总务科机电管理人员填写。</w:t>
            </w:r>
          </w:p>
          <w:p w14:paraId="65571868">
            <w:pPr>
              <w:rPr>
                <w:rFonts w:ascii="仿宋" w:hAnsi="仿宋" w:eastAsia="仿宋" w:cs="仿宋"/>
                <w:sz w:val="24"/>
                <w:szCs w:val="24"/>
              </w:rPr>
            </w:pPr>
            <w:r>
              <w:rPr>
                <w:rFonts w:hint="eastAsia" w:ascii="仿宋" w:hAnsi="仿宋" w:eastAsia="仿宋" w:cs="仿宋"/>
                <w:sz w:val="24"/>
                <w:szCs w:val="24"/>
              </w:rPr>
              <w:t>2、本表服务总评分90分，在每月总体评分总分中占比90%。</w:t>
            </w:r>
          </w:p>
          <w:p w14:paraId="20AA428F">
            <w:pPr>
              <w:rPr>
                <w:rFonts w:ascii="仿宋" w:hAnsi="仿宋" w:eastAsia="仿宋" w:cs="仿宋"/>
                <w:sz w:val="24"/>
                <w:szCs w:val="24"/>
              </w:rPr>
            </w:pPr>
            <w:r>
              <w:rPr>
                <w:rFonts w:hint="eastAsia" w:ascii="仿宋" w:hAnsi="仿宋" w:eastAsia="仿宋" w:cs="仿宋"/>
                <w:sz w:val="24"/>
                <w:szCs w:val="24"/>
              </w:rPr>
              <w:t>3、如收到投诉，待后勤部核实为有效投诉后，在本表部分扣分，每次3分，上不封顶。</w:t>
            </w:r>
          </w:p>
        </w:tc>
      </w:tr>
    </w:tbl>
    <w:p w14:paraId="0A58A142">
      <w:pPr>
        <w:rPr>
          <w:rFonts w:ascii="仿宋" w:hAnsi="仿宋" w:eastAsia="仿宋" w:cs="仿宋"/>
          <w:sz w:val="24"/>
          <w:szCs w:val="24"/>
        </w:rPr>
      </w:pPr>
    </w:p>
    <w:p w14:paraId="19B580C8">
      <w:pPr>
        <w:pStyle w:val="5"/>
        <w:tabs>
          <w:tab w:val="left" w:pos="540"/>
        </w:tabs>
        <w:spacing w:before="156" w:beforeLines="50" w:line="360" w:lineRule="auto"/>
        <w:ind w:firstLine="281" w:firstLineChars="100"/>
        <w:outlineLvl w:val="1"/>
        <w:rPr>
          <w:rFonts w:ascii="仿宋" w:hAnsi="仿宋" w:eastAsia="仿宋" w:cs="仿宋"/>
          <w:b/>
          <w:sz w:val="28"/>
          <w:szCs w:val="28"/>
          <w:lang w:eastAsia="zh-CN"/>
        </w:rPr>
      </w:pPr>
      <w:r>
        <w:rPr>
          <w:rFonts w:hint="eastAsia" w:ascii="仿宋" w:hAnsi="仿宋" w:eastAsia="仿宋" w:cs="仿宋"/>
          <w:b/>
          <w:sz w:val="28"/>
          <w:szCs w:val="28"/>
          <w:lang w:eastAsia="zh-CN"/>
        </w:rPr>
        <w:t>八、商务要求</w:t>
      </w:r>
    </w:p>
    <w:p w14:paraId="0693D218">
      <w:pPr>
        <w:spacing w:line="360" w:lineRule="auto"/>
        <w:ind w:firstLine="460"/>
        <w:rPr>
          <w:rFonts w:ascii="仿宋" w:hAnsi="仿宋" w:eastAsia="仿宋" w:cs="仿宋"/>
          <w:sz w:val="24"/>
        </w:rPr>
      </w:pPr>
      <w:r>
        <w:rPr>
          <w:rFonts w:hint="eastAsia" w:ascii="仿宋" w:hAnsi="仿宋" w:eastAsia="仿宋" w:cs="仿宋"/>
          <w:sz w:val="24"/>
        </w:rPr>
        <w:t>★1、投标人的投标报价费用须包含采购人提供清单设备的维修保养人工费、检测调试费、设施更换施工费、设备工具使用费、交通运输费。</w:t>
      </w:r>
    </w:p>
    <w:p w14:paraId="2CA28F5A">
      <w:pPr>
        <w:spacing w:line="360" w:lineRule="auto"/>
        <w:ind w:firstLine="480" w:firstLineChars="200"/>
        <w:rPr>
          <w:rFonts w:ascii="仿宋" w:hAnsi="仿宋" w:eastAsia="仿宋" w:cs="仿宋"/>
          <w:sz w:val="24"/>
        </w:rPr>
      </w:pPr>
      <w:r>
        <w:rPr>
          <w:rFonts w:hint="eastAsia" w:ascii="仿宋" w:hAnsi="仿宋" w:eastAsia="仿宋" w:cs="仿宋"/>
          <w:sz w:val="24"/>
        </w:rPr>
        <w:t>2、采购项目交付（实施）的时间（期限）和地点（范围）</w:t>
      </w:r>
    </w:p>
    <w:p w14:paraId="5FC18833">
      <w:pPr>
        <w:spacing w:line="360" w:lineRule="auto"/>
        <w:rPr>
          <w:rFonts w:ascii="仿宋" w:hAnsi="仿宋" w:eastAsia="仿宋" w:cs="仿宋"/>
          <w:sz w:val="24"/>
        </w:rPr>
      </w:pPr>
      <w:r>
        <w:rPr>
          <w:rFonts w:hint="eastAsia" w:ascii="仿宋" w:hAnsi="仿宋" w:eastAsia="仿宋" w:cs="仿宋"/>
          <w:sz w:val="24"/>
        </w:rPr>
        <w:t>（1）交付（实施）的时间（期限）：合同生效之日起2年。</w:t>
      </w:r>
    </w:p>
    <w:p w14:paraId="349EC8F3">
      <w:pPr>
        <w:pStyle w:val="13"/>
        <w:spacing w:line="360" w:lineRule="auto"/>
        <w:rPr>
          <w:rFonts w:ascii="仿宋" w:hAnsi="仿宋" w:eastAsia="仿宋" w:cs="仿宋"/>
        </w:rPr>
      </w:pPr>
      <w:r>
        <w:rPr>
          <w:rFonts w:hint="eastAsia" w:ascii="仿宋" w:hAnsi="仿宋" w:eastAsia="仿宋" w:cs="仿宋"/>
        </w:rPr>
        <w:t>（2）交付（实施）的地点（范围）：广州医科大学附属妇女儿童医疗中心珠江新城院区（天河区金穗路9号）、儿童院区（越秀区人民中路318号）、妇婴院区（越秀区人民中路412号）、广州医科大学附属妇女儿童医疗中心增城院区（增城区增城大道293号）、广州医科大学附属妇女儿童医疗中心白云院区（新达路91至93号）。</w:t>
      </w:r>
    </w:p>
    <w:p w14:paraId="558EBB56">
      <w:pPr>
        <w:ind w:firstLine="420"/>
        <w:rPr>
          <w:rFonts w:ascii="仿宋" w:hAnsi="仿宋" w:eastAsia="仿宋" w:cs="仿宋"/>
        </w:rPr>
      </w:pPr>
    </w:p>
    <w:p w14:paraId="0FBF9651">
      <w:pPr>
        <w:spacing w:line="360" w:lineRule="auto"/>
        <w:rPr>
          <w:rFonts w:ascii="仿宋" w:hAnsi="仿宋" w:eastAsia="仿宋" w:cs="仿宋"/>
          <w:sz w:val="24"/>
        </w:rPr>
      </w:pPr>
      <w:r>
        <w:rPr>
          <w:rFonts w:hint="eastAsia" w:ascii="仿宋" w:hAnsi="仿宋" w:eastAsia="仿宋" w:cs="仿宋"/>
          <w:sz w:val="24"/>
        </w:rPr>
        <w:t>3、付款方式</w:t>
      </w:r>
    </w:p>
    <w:p w14:paraId="4D26EF1A">
      <w:pPr>
        <w:spacing w:line="360" w:lineRule="auto"/>
        <w:rPr>
          <w:rFonts w:ascii="仿宋" w:hAnsi="仿宋" w:eastAsia="仿宋" w:cs="仿宋"/>
          <w:sz w:val="24"/>
        </w:rPr>
      </w:pPr>
      <w:r>
        <w:rPr>
          <w:rFonts w:hint="eastAsia" w:ascii="仿宋" w:hAnsi="仿宋" w:eastAsia="仿宋" w:cs="仿宋"/>
          <w:sz w:val="24"/>
        </w:rPr>
        <w:t>3.1 按月支付服务费，服务费以银行转账的方式支付。合同生效后，根据《广东省财政厅关于进一步优化政府采购领域营商环境的实施意见》，采购人向中标人一次性预付前</w:t>
      </w:r>
      <w:r>
        <w:rPr>
          <w:rFonts w:hint="eastAsia" w:ascii="仿宋" w:hAnsi="仿宋" w:eastAsia="仿宋" w:cs="仿宋"/>
          <w:sz w:val="24"/>
          <w:lang w:eastAsia="zh-CN"/>
        </w:rPr>
        <w:t>？</w:t>
      </w:r>
      <w:r>
        <w:rPr>
          <w:rFonts w:hint="eastAsia" w:ascii="仿宋" w:hAnsi="仿宋" w:eastAsia="仿宋" w:cs="仿宋"/>
          <w:sz w:val="24"/>
        </w:rPr>
        <w:t>个月的服务费作为本项目的预付款。合同执行</w:t>
      </w:r>
      <w:r>
        <w:rPr>
          <w:rFonts w:hint="eastAsia" w:ascii="仿宋" w:hAnsi="仿宋" w:eastAsia="仿宋" w:cs="仿宋"/>
          <w:sz w:val="24"/>
          <w:lang w:eastAsia="zh-CN"/>
        </w:rPr>
        <w:t>？</w:t>
      </w:r>
      <w:r>
        <w:rPr>
          <w:rFonts w:hint="eastAsia" w:ascii="仿宋" w:hAnsi="仿宋" w:eastAsia="仿宋" w:cs="仿宋"/>
          <w:sz w:val="24"/>
        </w:rPr>
        <w:t>个月后，服务费每个月结算一次（若合同履行前5个月，需要罚款或扣款的，该部分金额在第</w:t>
      </w:r>
      <w:r>
        <w:rPr>
          <w:rFonts w:hint="eastAsia" w:ascii="仿宋" w:hAnsi="仿宋" w:eastAsia="仿宋" w:cs="仿宋"/>
          <w:sz w:val="24"/>
          <w:lang w:eastAsia="zh-CN"/>
        </w:rPr>
        <w:t>？</w:t>
      </w:r>
      <w:r>
        <w:rPr>
          <w:rFonts w:hint="eastAsia" w:ascii="仿宋" w:hAnsi="仿宋" w:eastAsia="仿宋" w:cs="仿宋"/>
          <w:sz w:val="24"/>
        </w:rPr>
        <w:t>个月的服务费中扣除，不足以扣除的，继续顺延至其后的月份中扣除）。每月结算服务费时，中标人需向采购人提交发票及相关结算资料，采购人在审核结算资料无误后5个工作日内开始办理服务费的支付手续。因采购人使用的是财政性资金，采购人在前款规定的付款时间为向支付部门提出办理财政支付申请手续的时间（不含支付部门审核的时间），在规定时间内提出支付申请手续后即视为采购人已经按期支付。</w:t>
      </w:r>
    </w:p>
    <w:p w14:paraId="35A8E0DC">
      <w:pPr>
        <w:spacing w:line="360" w:lineRule="auto"/>
        <w:rPr>
          <w:rFonts w:ascii="仿宋" w:hAnsi="仿宋" w:eastAsia="仿宋" w:cs="仿宋"/>
          <w:sz w:val="24"/>
        </w:rPr>
      </w:pPr>
      <w:r>
        <w:rPr>
          <w:rFonts w:hint="eastAsia" w:ascii="仿宋" w:hAnsi="仿宋" w:eastAsia="仿宋" w:cs="仿宋"/>
          <w:sz w:val="24"/>
        </w:rPr>
        <w:t>3.2 履约保证金</w:t>
      </w:r>
    </w:p>
    <w:p w14:paraId="42874161">
      <w:pPr>
        <w:spacing w:line="360" w:lineRule="auto"/>
        <w:rPr>
          <w:rFonts w:ascii="仿宋" w:hAnsi="仿宋" w:eastAsia="仿宋" w:cs="仿宋"/>
          <w:sz w:val="24"/>
        </w:rPr>
      </w:pPr>
      <w:r>
        <w:rPr>
          <w:rFonts w:hint="eastAsia" w:ascii="仿宋" w:hAnsi="仿宋" w:eastAsia="仿宋" w:cs="仿宋"/>
          <w:sz w:val="24"/>
        </w:rPr>
        <w:t>中标人与采购人签订合同后15个工作日内，按合同总价的5%以银行保函形式向采购人提交履约保证金。若不提交履约保证金，采购人有权终止合同，并上报监管部门，由此产生的一切责任及损失均由中标人承担。中标人将履约保函原件交采购人备案。若合同期内中标人没有违约行为，履约保证金在合同有效期满后30个工作日内自动失效。下列任何一种情况发生时，采购人有权不予退还履约保证金：（一）中标人未完全履行投标文件承诺或合同约定的；（二）中标人过错致采购人造成损失的。</w:t>
      </w:r>
    </w:p>
    <w:p w14:paraId="4B29D85C">
      <w:pPr>
        <w:spacing w:line="360" w:lineRule="auto"/>
        <w:rPr>
          <w:rFonts w:ascii="仿宋" w:hAnsi="仿宋" w:eastAsia="仿宋" w:cs="仿宋"/>
          <w:sz w:val="24"/>
        </w:rPr>
      </w:pPr>
      <w:r>
        <w:rPr>
          <w:rFonts w:hint="eastAsia" w:ascii="仿宋" w:hAnsi="仿宋" w:eastAsia="仿宋" w:cs="仿宋"/>
          <w:sz w:val="24"/>
        </w:rPr>
        <w:t>4、每次结算服务费，中标人需凭以下资料与采购人结算：</w:t>
      </w:r>
    </w:p>
    <w:p w14:paraId="154805BB">
      <w:pPr>
        <w:spacing w:line="360" w:lineRule="auto"/>
        <w:rPr>
          <w:rFonts w:ascii="仿宋" w:hAnsi="仿宋" w:eastAsia="仿宋" w:cs="仿宋"/>
          <w:sz w:val="24"/>
        </w:rPr>
      </w:pPr>
      <w:r>
        <w:rPr>
          <w:rFonts w:hint="eastAsia" w:ascii="仿宋" w:hAnsi="仿宋" w:eastAsia="仿宋" w:cs="仿宋"/>
          <w:sz w:val="24"/>
        </w:rPr>
        <w:t>①合同、中标通知书、银行履约保函；（办理预付款支付时提交）</w:t>
      </w:r>
    </w:p>
    <w:p w14:paraId="2BFAB978">
      <w:pPr>
        <w:spacing w:line="360" w:lineRule="auto"/>
        <w:rPr>
          <w:rFonts w:ascii="仿宋" w:hAnsi="仿宋" w:eastAsia="仿宋" w:cs="仿宋"/>
          <w:sz w:val="24"/>
        </w:rPr>
      </w:pPr>
      <w:r>
        <w:rPr>
          <w:rFonts w:hint="eastAsia" w:ascii="仿宋" w:hAnsi="仿宋" w:eastAsia="仿宋" w:cs="仿宋"/>
          <w:sz w:val="24"/>
        </w:rPr>
        <w:t>②中标人开具的正式发票；</w:t>
      </w:r>
    </w:p>
    <w:p w14:paraId="09B8D359">
      <w:pPr>
        <w:spacing w:line="360" w:lineRule="auto"/>
        <w:rPr>
          <w:rFonts w:ascii="仿宋" w:hAnsi="仿宋" w:eastAsia="仿宋" w:cs="仿宋"/>
          <w:sz w:val="24"/>
        </w:rPr>
      </w:pPr>
      <w:r>
        <w:rPr>
          <w:rFonts w:hint="eastAsia" w:ascii="仿宋" w:hAnsi="仿宋" w:eastAsia="仿宋" w:cs="仿宋"/>
          <w:sz w:val="24"/>
        </w:rPr>
        <w:t>③上月的维修工作量清单；（前</w:t>
      </w:r>
      <w:r>
        <w:rPr>
          <w:rFonts w:hint="eastAsia" w:ascii="仿宋" w:hAnsi="仿宋" w:eastAsia="仿宋" w:cs="仿宋"/>
          <w:sz w:val="24"/>
          <w:lang w:eastAsia="zh-CN"/>
        </w:rPr>
        <w:t>？</w:t>
      </w:r>
      <w:r>
        <w:rPr>
          <w:rFonts w:hint="eastAsia" w:ascii="仿宋" w:hAnsi="仿宋" w:eastAsia="仿宋" w:cs="仿宋"/>
          <w:sz w:val="24"/>
        </w:rPr>
        <w:t>个月采用预付款抵扣结算服务费的，中标人需每月提交上述资料至采购人处，否则扣罚服务费）</w:t>
      </w:r>
    </w:p>
    <w:p w14:paraId="0935C1B1">
      <w:pPr>
        <w:spacing w:line="360" w:lineRule="auto"/>
        <w:rPr>
          <w:rFonts w:ascii="仿宋" w:hAnsi="仿宋" w:eastAsia="仿宋" w:cs="仿宋"/>
          <w:sz w:val="24"/>
        </w:rPr>
      </w:pPr>
      <w:r>
        <w:rPr>
          <w:rFonts w:hint="eastAsia" w:ascii="仿宋" w:hAnsi="仿宋" w:eastAsia="仿宋" w:cs="仿宋"/>
          <w:sz w:val="24"/>
        </w:rPr>
        <w:t>④每月经采购人核实的满意度履约评价。</w:t>
      </w:r>
    </w:p>
    <w:p w14:paraId="1B362A3C">
      <w:pPr>
        <w:pStyle w:val="3"/>
        <w:spacing w:before="78" w:line="360" w:lineRule="auto"/>
        <w:ind w:firstLine="240" w:firstLineChars="100"/>
        <w:rPr>
          <w:rFonts w:ascii="仿宋" w:hAnsi="仿宋" w:eastAsia="仿宋" w:cs="仿宋"/>
          <w:kern w:val="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C4FE1"/>
    <w:multiLevelType w:val="multilevel"/>
    <w:tmpl w:val="00CC4FE1"/>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332CC2"/>
    <w:multiLevelType w:val="singleLevel"/>
    <w:tmpl w:val="0C332CC2"/>
    <w:lvl w:ilvl="0" w:tentative="0">
      <w:start w:val="1"/>
      <w:numFmt w:val="decimal"/>
      <w:suff w:val="nothing"/>
      <w:lvlText w:val="%1、"/>
      <w:lvlJc w:val="left"/>
    </w:lvl>
  </w:abstractNum>
  <w:abstractNum w:abstractNumId="2">
    <w:nsid w:val="4010334A"/>
    <w:multiLevelType w:val="singleLevel"/>
    <w:tmpl w:val="4010334A"/>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C0"/>
    <w:rsid w:val="00063687"/>
    <w:rsid w:val="000835C0"/>
    <w:rsid w:val="001739E8"/>
    <w:rsid w:val="001C164A"/>
    <w:rsid w:val="003C24EE"/>
    <w:rsid w:val="003C33F9"/>
    <w:rsid w:val="005C2CCB"/>
    <w:rsid w:val="006E033D"/>
    <w:rsid w:val="00935608"/>
    <w:rsid w:val="009759BF"/>
    <w:rsid w:val="00CC7C97"/>
    <w:rsid w:val="00E86AE6"/>
    <w:rsid w:val="00F70A3E"/>
    <w:rsid w:val="00FC2865"/>
    <w:rsid w:val="02E225F8"/>
    <w:rsid w:val="052102F4"/>
    <w:rsid w:val="09041A3C"/>
    <w:rsid w:val="0B7E06DB"/>
    <w:rsid w:val="0BD0575C"/>
    <w:rsid w:val="12542D8F"/>
    <w:rsid w:val="15406575"/>
    <w:rsid w:val="1A1C2280"/>
    <w:rsid w:val="1D7B2DD3"/>
    <w:rsid w:val="1E095E74"/>
    <w:rsid w:val="204038CD"/>
    <w:rsid w:val="2274684A"/>
    <w:rsid w:val="2B171822"/>
    <w:rsid w:val="2E2C22B7"/>
    <w:rsid w:val="2E672019"/>
    <w:rsid w:val="2F9C3277"/>
    <w:rsid w:val="31091AB9"/>
    <w:rsid w:val="31CB6D6E"/>
    <w:rsid w:val="34E04441"/>
    <w:rsid w:val="36A560C6"/>
    <w:rsid w:val="380B6117"/>
    <w:rsid w:val="38877E93"/>
    <w:rsid w:val="412C71E2"/>
    <w:rsid w:val="4545469B"/>
    <w:rsid w:val="4557342D"/>
    <w:rsid w:val="47F6293F"/>
    <w:rsid w:val="4A0A10C5"/>
    <w:rsid w:val="4F964BD7"/>
    <w:rsid w:val="50487E2C"/>
    <w:rsid w:val="5321043D"/>
    <w:rsid w:val="5438365D"/>
    <w:rsid w:val="56C8194B"/>
    <w:rsid w:val="59561490"/>
    <w:rsid w:val="59FD29E5"/>
    <w:rsid w:val="5A040EEC"/>
    <w:rsid w:val="62AD20E7"/>
    <w:rsid w:val="632520B4"/>
    <w:rsid w:val="650046E7"/>
    <w:rsid w:val="68331EE6"/>
    <w:rsid w:val="6A366774"/>
    <w:rsid w:val="6EE3511C"/>
    <w:rsid w:val="726158C1"/>
    <w:rsid w:val="74A215D5"/>
    <w:rsid w:val="7E17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rPr>
  </w:style>
  <w:style w:type="paragraph" w:styleId="4">
    <w:name w:val="Body Text Indent"/>
    <w:basedOn w:val="1"/>
    <w:unhideWhenUsed/>
    <w:qFormat/>
    <w:uiPriority w:val="99"/>
    <w:pPr>
      <w:ind w:firstLine="360"/>
    </w:pPr>
  </w:style>
  <w:style w:type="paragraph" w:styleId="5">
    <w:name w:val="Plain Text"/>
    <w:basedOn w:val="1"/>
    <w:qFormat/>
    <w:uiPriority w:val="99"/>
    <w:rPr>
      <w:rFonts w:ascii="宋体" w:hAnsi="Courier New" w:cs="Courier New"/>
      <w:kern w:val="2"/>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10">
    <w:name w:val="Body Text 21"/>
    <w:basedOn w:val="1"/>
    <w:qFormat/>
    <w:uiPriority w:val="0"/>
    <w:pPr>
      <w:spacing w:line="240" w:lineRule="exact"/>
    </w:pPr>
    <w:rPr>
      <w:rFonts w:ascii="宋体"/>
      <w:sz w:val="18"/>
      <w:szCs w:val="20"/>
    </w:rPr>
  </w:style>
  <w:style w:type="paragraph" w:customStyle="1" w:styleId="11">
    <w:name w:val="图"/>
    <w:basedOn w:val="1"/>
    <w:qFormat/>
    <w:uiPriority w:val="0"/>
    <w:pPr>
      <w:keepNext/>
      <w:spacing w:before="60" w:after="60" w:line="300" w:lineRule="auto"/>
      <w:jc w:val="center"/>
      <w:textAlignment w:val="center"/>
    </w:pPr>
    <w:rPr>
      <w:snapToGrid/>
      <w:spacing w:val="20"/>
      <w:sz w:val="24"/>
      <w:szCs w:val="20"/>
    </w:rPr>
  </w:style>
  <w:style w:type="paragraph" w:customStyle="1" w:styleId="12">
    <w:name w:val="null3"/>
    <w:qFormat/>
    <w:uiPriority w:val="0"/>
    <w:rPr>
      <w:rFonts w:hint="eastAsia" w:ascii="Calibri" w:hAnsi="Calibri" w:eastAsia="宋体" w:cs="Times New Roman"/>
      <w:lang w:val="en-US" w:eastAsia="zh-Hans" w:bidi="ar-SA"/>
    </w:rPr>
  </w:style>
  <w:style w:type="paragraph" w:customStyle="1" w:styleId="13">
    <w:name w:val="表格文字"/>
    <w:basedOn w:val="1"/>
    <w:qFormat/>
    <w:uiPriority w:val="0"/>
    <w:pPr>
      <w:spacing w:before="25" w:after="25"/>
    </w:pPr>
    <w:rPr>
      <w:bCs/>
      <w:spacing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780</Words>
  <Characters>1997</Characters>
  <Lines>89</Lines>
  <Paragraphs>25</Paragraphs>
  <TotalTime>168</TotalTime>
  <ScaleCrop>false</ScaleCrop>
  <LinksUpToDate>false</LinksUpToDate>
  <CharactersWithSpaces>2005</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2025-07-15T01:51:00Z</dcterms:created>
  <dc:creator>Dell</dc:creator>
  <cp:lastModifiedBy>吴瑞敏</cp:lastModifiedBy>
  <dcterms:modified xsi:type="dcterms:W3CDTF">2025-08-14T05:08:37Z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eyJoZGlkIjoiMGIyN2QxNTMyNzY0ZTFiMzkyY2E5NzMyZWRkMTI2NDciLCJ1c2VySWQiOiI2MjE1MzE3ODkifQ==</vt:lpwstr>
  </property>
  <property fmtid="{D5CDD505-2E9C-101B-9397-08002B2CF9AE}" pid="4" name="ICV">
    <vt:lpwstr>F20C8B4597DD463188408BCDC9237551_13</vt:lpwstr>
  </property>
</Properties>
</file>