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B4123C">
      <w:pPr>
        <w:ind w:left="382"/>
        <w:rPr>
          <w:rFonts w:hint="eastAsia"/>
          <w:b/>
          <w:bCs/>
          <w:sz w:val="28"/>
          <w:szCs w:val="28"/>
        </w:rPr>
      </w:pPr>
      <w:r>
        <w:rPr>
          <w:rFonts w:hint="eastAsia"/>
          <w:b/>
          <w:bCs/>
          <w:sz w:val="28"/>
          <w:szCs w:val="28"/>
        </w:rPr>
        <w:t>包2《病原宏基因组与靶向高通量测序整体解决方案》调研表</w:t>
      </w:r>
    </w:p>
    <w:p w14:paraId="3E0251A2">
      <w:pPr>
        <w:pStyle w:val="8"/>
        <w:numPr>
          <w:ilvl w:val="0"/>
          <w:numId w:val="0"/>
        </w:numPr>
        <w:spacing w:line="360" w:lineRule="auto"/>
        <w:rPr>
          <w:rFonts w:hint="eastAsia" w:eastAsia="宋体"/>
          <w:lang w:eastAsia="zh-CN"/>
        </w:rPr>
      </w:pPr>
      <w:r>
        <w:rPr>
          <w:rFonts w:hint="eastAsia" w:ascii="Times New Roman" w:hAnsi="Times New Roman" w:cs="Times New Roman"/>
          <w:b/>
          <w:bCs/>
          <w:sz w:val="24"/>
          <w:szCs w:val="24"/>
          <w:lang w:val="en-US" w:eastAsia="zh-CN"/>
        </w:rPr>
        <w:t>一、</w:t>
      </w:r>
      <w:r>
        <w:rPr>
          <w:rFonts w:hint="default" w:ascii="Times New Roman" w:hAnsi="Times New Roman" w:eastAsia="宋体" w:cs="Times New Roman"/>
          <w:b/>
          <w:bCs/>
          <w:sz w:val="24"/>
          <w:szCs w:val="24"/>
        </w:rPr>
        <w:t>供应商情况：</w:t>
      </w:r>
    </w:p>
    <w:p w14:paraId="5E2C8B25">
      <w:pPr>
        <w:pStyle w:val="8"/>
        <w:ind w:left="0" w:leftChars="0" w:firstLine="0" w:firstLineChars="0"/>
        <w:rPr>
          <w:rFonts w:hint="eastAsia"/>
          <w:b/>
          <w:bCs/>
          <w:sz w:val="24"/>
          <w:szCs w:val="24"/>
        </w:rPr>
      </w:pPr>
      <w:r>
        <w:rPr>
          <w:rFonts w:hint="eastAsia"/>
          <w:b/>
          <w:bCs/>
          <w:sz w:val="24"/>
          <w:szCs w:val="24"/>
        </w:rPr>
        <w:t>1.供应商基本资料</w:t>
      </w:r>
    </w:p>
    <w:tbl>
      <w:tblPr>
        <w:tblStyle w:val="4"/>
        <w:tblW w:w="5006" w:type="pct"/>
        <w:tblInd w:w="130" w:type="dxa"/>
        <w:tblLayout w:type="autofit"/>
        <w:tblCellMar>
          <w:top w:w="0" w:type="dxa"/>
          <w:left w:w="0" w:type="dxa"/>
          <w:bottom w:w="0" w:type="dxa"/>
          <w:right w:w="0" w:type="dxa"/>
        </w:tblCellMar>
      </w:tblPr>
      <w:tblGrid>
        <w:gridCol w:w="2763"/>
        <w:gridCol w:w="730"/>
        <w:gridCol w:w="1895"/>
        <w:gridCol w:w="942"/>
        <w:gridCol w:w="2002"/>
      </w:tblGrid>
      <w:tr w14:paraId="08177603">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6DE2F450">
            <w:pPr>
              <w:pStyle w:val="9"/>
              <w:jc w:val="center"/>
              <w:rPr>
                <w:rFonts w:hint="default" w:ascii="Times New Roman" w:hAnsi="Times New Roman" w:eastAsia="宋体" w:cs="Times New Roman"/>
              </w:rPr>
            </w:pPr>
            <w:r>
              <w:rPr>
                <w:rFonts w:hint="default" w:ascii="Times New Roman" w:hAnsi="Times New Roman" w:eastAsia="宋体" w:cs="Times New Roman"/>
              </w:rPr>
              <w:t>单位名称</w:t>
            </w:r>
          </w:p>
        </w:tc>
        <w:tc>
          <w:tcPr>
            <w:tcW w:w="3341" w:type="pct"/>
            <w:gridSpan w:val="4"/>
            <w:tcBorders>
              <w:top w:val="single" w:color="000000" w:sz="4" w:space="0"/>
              <w:left w:val="nil"/>
              <w:bottom w:val="single" w:color="000000" w:sz="4" w:space="0"/>
              <w:right w:val="single" w:color="000000" w:sz="4" w:space="0"/>
            </w:tcBorders>
            <w:vAlign w:val="center"/>
          </w:tcPr>
          <w:p w14:paraId="36C39427">
            <w:pPr>
              <w:jc w:val="center"/>
              <w:rPr>
                <w:rFonts w:hint="default" w:ascii="Times New Roman" w:hAnsi="Times New Roman" w:eastAsia="宋体" w:cs="Times New Roman"/>
              </w:rPr>
            </w:pPr>
          </w:p>
        </w:tc>
      </w:tr>
      <w:tr w14:paraId="4D19ACDB">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0716FC67">
            <w:pPr>
              <w:pStyle w:val="9"/>
              <w:jc w:val="center"/>
              <w:rPr>
                <w:rFonts w:hint="default" w:ascii="Times New Roman" w:hAnsi="Times New Roman" w:eastAsia="宋体" w:cs="Times New Roman"/>
              </w:rPr>
            </w:pPr>
            <w:r>
              <w:rPr>
                <w:rFonts w:hint="default" w:ascii="Times New Roman" w:hAnsi="Times New Roman" w:eastAsia="宋体" w:cs="Times New Roman"/>
              </w:rPr>
              <w:t>注册资金</w:t>
            </w:r>
          </w:p>
        </w:tc>
        <w:tc>
          <w:tcPr>
            <w:tcW w:w="1575" w:type="pct"/>
            <w:gridSpan w:val="2"/>
            <w:tcBorders>
              <w:top w:val="single" w:color="000000" w:sz="4" w:space="0"/>
              <w:left w:val="nil"/>
              <w:bottom w:val="single" w:color="000000" w:sz="4" w:space="0"/>
              <w:right w:val="single" w:color="000000" w:sz="4" w:space="0"/>
            </w:tcBorders>
            <w:vAlign w:val="center"/>
          </w:tcPr>
          <w:p w14:paraId="17DDAE72">
            <w:pPr>
              <w:jc w:val="center"/>
              <w:rPr>
                <w:rFonts w:hint="default" w:ascii="Times New Roman" w:hAnsi="Times New Roman" w:eastAsia="宋体" w:cs="Times New Roman"/>
              </w:rPr>
            </w:pPr>
          </w:p>
        </w:tc>
        <w:tc>
          <w:tcPr>
            <w:tcW w:w="565" w:type="pct"/>
            <w:tcBorders>
              <w:top w:val="single" w:color="000000" w:sz="4" w:space="0"/>
              <w:left w:val="nil"/>
              <w:bottom w:val="single" w:color="000000" w:sz="4" w:space="0"/>
              <w:right w:val="single" w:color="000000" w:sz="4" w:space="0"/>
            </w:tcBorders>
            <w:vAlign w:val="center"/>
          </w:tcPr>
          <w:p w14:paraId="2E7A19A4">
            <w:pPr>
              <w:pStyle w:val="9"/>
              <w:jc w:val="center"/>
              <w:rPr>
                <w:rFonts w:hint="default" w:ascii="Times New Roman" w:hAnsi="Times New Roman" w:eastAsia="宋体" w:cs="Times New Roman"/>
              </w:rPr>
            </w:pPr>
            <w:r>
              <w:rPr>
                <w:rFonts w:hint="default" w:ascii="Times New Roman" w:hAnsi="Times New Roman" w:eastAsia="宋体" w:cs="Times New Roman"/>
              </w:rPr>
              <w:t>成立时间</w:t>
            </w:r>
          </w:p>
        </w:tc>
        <w:tc>
          <w:tcPr>
            <w:tcW w:w="1199" w:type="pct"/>
            <w:tcBorders>
              <w:top w:val="single" w:color="000000" w:sz="4" w:space="0"/>
              <w:left w:val="nil"/>
              <w:bottom w:val="single" w:color="000000" w:sz="4" w:space="0"/>
              <w:right w:val="single" w:color="000000" w:sz="4" w:space="0"/>
            </w:tcBorders>
            <w:vAlign w:val="center"/>
          </w:tcPr>
          <w:p w14:paraId="1D367455">
            <w:pPr>
              <w:jc w:val="center"/>
              <w:rPr>
                <w:rFonts w:hint="default" w:ascii="Times New Roman" w:hAnsi="Times New Roman" w:eastAsia="宋体" w:cs="Times New Roman"/>
              </w:rPr>
            </w:pPr>
          </w:p>
        </w:tc>
      </w:tr>
      <w:tr w14:paraId="150FABAF">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6D092E70">
            <w:pPr>
              <w:pStyle w:val="9"/>
              <w:jc w:val="center"/>
              <w:rPr>
                <w:rFonts w:hint="default" w:ascii="Times New Roman" w:hAnsi="Times New Roman" w:eastAsia="宋体" w:cs="Times New Roman"/>
              </w:rPr>
            </w:pPr>
            <w:r>
              <w:rPr>
                <w:rFonts w:hint="default" w:ascii="Times New Roman" w:hAnsi="Times New Roman" w:eastAsia="宋体" w:cs="Times New Roman"/>
              </w:rPr>
              <w:t>注册地址</w:t>
            </w:r>
          </w:p>
        </w:tc>
        <w:tc>
          <w:tcPr>
            <w:tcW w:w="3341" w:type="pct"/>
            <w:gridSpan w:val="4"/>
            <w:tcBorders>
              <w:top w:val="single" w:color="000000" w:sz="4" w:space="0"/>
              <w:left w:val="nil"/>
              <w:bottom w:val="single" w:color="000000" w:sz="4" w:space="0"/>
              <w:right w:val="single" w:color="000000" w:sz="4" w:space="0"/>
            </w:tcBorders>
            <w:vAlign w:val="center"/>
          </w:tcPr>
          <w:p w14:paraId="14477993">
            <w:pPr>
              <w:jc w:val="center"/>
              <w:rPr>
                <w:rFonts w:hint="default" w:ascii="Times New Roman" w:hAnsi="Times New Roman" w:eastAsia="宋体" w:cs="Times New Roman"/>
              </w:rPr>
            </w:pPr>
          </w:p>
        </w:tc>
      </w:tr>
      <w:tr w14:paraId="379A618C">
        <w:tblPrEx>
          <w:tblCellMar>
            <w:top w:w="0" w:type="dxa"/>
            <w:left w:w="0" w:type="dxa"/>
            <w:bottom w:w="0" w:type="dxa"/>
            <w:right w:w="0" w:type="dxa"/>
          </w:tblCellMar>
        </w:tblPrEx>
        <w:trPr>
          <w:trHeight w:val="316" w:hRule="atLeast"/>
        </w:trPr>
        <w:tc>
          <w:tcPr>
            <w:tcW w:w="1658" w:type="pct"/>
            <w:tcBorders>
              <w:top w:val="single" w:color="000000" w:sz="4" w:space="0"/>
              <w:left w:val="single" w:color="000000" w:sz="4" w:space="0"/>
              <w:bottom w:val="single" w:color="000000" w:sz="4" w:space="0"/>
              <w:right w:val="single" w:color="000000" w:sz="4" w:space="0"/>
            </w:tcBorders>
            <w:vAlign w:val="center"/>
          </w:tcPr>
          <w:p w14:paraId="153A23A8">
            <w:pPr>
              <w:pStyle w:val="9"/>
              <w:jc w:val="center"/>
              <w:rPr>
                <w:rFonts w:hint="default" w:ascii="Times New Roman" w:hAnsi="Times New Roman" w:eastAsia="宋体" w:cs="Times New Roman"/>
              </w:rPr>
            </w:pPr>
            <w:r>
              <w:rPr>
                <w:rFonts w:hint="default" w:ascii="Times New Roman" w:hAnsi="Times New Roman" w:eastAsia="宋体" w:cs="Times New Roman"/>
              </w:rPr>
              <w:t>邮政编码</w:t>
            </w:r>
          </w:p>
        </w:tc>
        <w:tc>
          <w:tcPr>
            <w:tcW w:w="1575" w:type="pct"/>
            <w:gridSpan w:val="2"/>
            <w:tcBorders>
              <w:top w:val="single" w:color="000000" w:sz="4" w:space="0"/>
              <w:left w:val="nil"/>
              <w:bottom w:val="single" w:color="000000" w:sz="4" w:space="0"/>
              <w:right w:val="single" w:color="000000" w:sz="4" w:space="0"/>
            </w:tcBorders>
            <w:vAlign w:val="center"/>
          </w:tcPr>
          <w:p w14:paraId="727697A7">
            <w:pPr>
              <w:jc w:val="center"/>
              <w:rPr>
                <w:rFonts w:hint="default" w:ascii="Times New Roman" w:hAnsi="Times New Roman" w:eastAsia="宋体" w:cs="Times New Roman"/>
              </w:rPr>
            </w:pPr>
          </w:p>
        </w:tc>
        <w:tc>
          <w:tcPr>
            <w:tcW w:w="565" w:type="pct"/>
            <w:tcBorders>
              <w:top w:val="single" w:color="000000" w:sz="4" w:space="0"/>
              <w:left w:val="nil"/>
              <w:bottom w:val="single" w:color="000000" w:sz="4" w:space="0"/>
              <w:right w:val="single" w:color="000000" w:sz="4" w:space="0"/>
            </w:tcBorders>
            <w:vAlign w:val="center"/>
          </w:tcPr>
          <w:p w14:paraId="4AA4E7A4">
            <w:pPr>
              <w:pStyle w:val="9"/>
              <w:jc w:val="center"/>
              <w:rPr>
                <w:rFonts w:hint="default" w:ascii="Times New Roman" w:hAnsi="Times New Roman" w:eastAsia="宋体" w:cs="Times New Roman"/>
              </w:rPr>
            </w:pPr>
            <w:r>
              <w:rPr>
                <w:rFonts w:hint="default" w:ascii="Times New Roman" w:hAnsi="Times New Roman" w:eastAsia="宋体" w:cs="Times New Roman"/>
              </w:rPr>
              <w:t>员工总数</w:t>
            </w:r>
          </w:p>
        </w:tc>
        <w:tc>
          <w:tcPr>
            <w:tcW w:w="1199" w:type="pct"/>
            <w:tcBorders>
              <w:top w:val="single" w:color="000000" w:sz="4" w:space="0"/>
              <w:left w:val="nil"/>
              <w:bottom w:val="single" w:color="000000" w:sz="4" w:space="0"/>
              <w:right w:val="single" w:color="000000" w:sz="4" w:space="0"/>
            </w:tcBorders>
            <w:vAlign w:val="center"/>
          </w:tcPr>
          <w:p w14:paraId="33574FBA">
            <w:pPr>
              <w:jc w:val="center"/>
              <w:rPr>
                <w:rFonts w:hint="default" w:ascii="Times New Roman" w:hAnsi="Times New Roman" w:eastAsia="宋体" w:cs="Times New Roman"/>
              </w:rPr>
            </w:pPr>
          </w:p>
        </w:tc>
      </w:tr>
      <w:tr w14:paraId="481261F0">
        <w:tc>
          <w:tcPr>
            <w:tcW w:w="1658" w:type="pct"/>
            <w:vMerge w:val="restart"/>
            <w:tcBorders>
              <w:top w:val="nil"/>
              <w:left w:val="single" w:color="000000" w:sz="4" w:space="0"/>
              <w:bottom w:val="single" w:color="000000" w:sz="4" w:space="0"/>
              <w:right w:val="single" w:color="000000" w:sz="4" w:space="0"/>
            </w:tcBorders>
            <w:vAlign w:val="center"/>
          </w:tcPr>
          <w:p w14:paraId="389CFC92">
            <w:pPr>
              <w:pStyle w:val="9"/>
              <w:jc w:val="center"/>
              <w:rPr>
                <w:rFonts w:hint="default" w:ascii="Times New Roman" w:hAnsi="Times New Roman" w:eastAsia="宋体" w:cs="Times New Roman"/>
              </w:rPr>
            </w:pPr>
            <w:r>
              <w:rPr>
                <w:rFonts w:hint="default" w:ascii="Times New Roman" w:hAnsi="Times New Roman" w:eastAsia="宋体" w:cs="Times New Roman"/>
              </w:rPr>
              <w:t>联系方式</w:t>
            </w:r>
          </w:p>
        </w:tc>
        <w:tc>
          <w:tcPr>
            <w:tcW w:w="438" w:type="pct"/>
            <w:tcBorders>
              <w:top w:val="single" w:color="000000" w:sz="4" w:space="0"/>
              <w:left w:val="nil"/>
              <w:bottom w:val="single" w:color="000000" w:sz="4" w:space="0"/>
              <w:right w:val="single" w:color="000000" w:sz="4" w:space="0"/>
            </w:tcBorders>
            <w:vAlign w:val="center"/>
          </w:tcPr>
          <w:p w14:paraId="7992362A">
            <w:pPr>
              <w:pStyle w:val="9"/>
              <w:jc w:val="center"/>
              <w:rPr>
                <w:rFonts w:hint="default" w:ascii="Times New Roman" w:hAnsi="Times New Roman" w:eastAsia="宋体" w:cs="Times New Roman"/>
              </w:rPr>
            </w:pPr>
            <w:r>
              <w:rPr>
                <w:rFonts w:hint="default" w:ascii="Times New Roman" w:hAnsi="Times New Roman" w:eastAsia="宋体" w:cs="Times New Roman"/>
              </w:rPr>
              <w:t>联系人</w:t>
            </w:r>
          </w:p>
        </w:tc>
        <w:tc>
          <w:tcPr>
            <w:tcW w:w="1137" w:type="pct"/>
            <w:tcBorders>
              <w:top w:val="single" w:color="000000" w:sz="4" w:space="0"/>
              <w:left w:val="nil"/>
              <w:bottom w:val="single" w:color="000000" w:sz="4" w:space="0"/>
              <w:right w:val="single" w:color="000000" w:sz="4" w:space="0"/>
            </w:tcBorders>
            <w:vAlign w:val="center"/>
          </w:tcPr>
          <w:p w14:paraId="7934F43F">
            <w:pPr>
              <w:jc w:val="center"/>
              <w:rPr>
                <w:rFonts w:hint="default" w:ascii="Times New Roman" w:hAnsi="Times New Roman" w:eastAsia="宋体" w:cs="Times New Roman"/>
              </w:rPr>
            </w:pPr>
          </w:p>
        </w:tc>
        <w:tc>
          <w:tcPr>
            <w:tcW w:w="565" w:type="pct"/>
            <w:tcBorders>
              <w:top w:val="single" w:color="000000" w:sz="4" w:space="0"/>
              <w:left w:val="nil"/>
              <w:bottom w:val="single" w:color="000000" w:sz="4" w:space="0"/>
              <w:right w:val="single" w:color="000000" w:sz="4" w:space="0"/>
            </w:tcBorders>
            <w:vAlign w:val="center"/>
          </w:tcPr>
          <w:p w14:paraId="7F8B12FD">
            <w:pPr>
              <w:pStyle w:val="9"/>
              <w:jc w:val="center"/>
              <w:rPr>
                <w:rFonts w:hint="default" w:ascii="Times New Roman" w:hAnsi="Times New Roman" w:eastAsia="宋体" w:cs="Times New Roman"/>
              </w:rPr>
            </w:pPr>
            <w:r>
              <w:rPr>
                <w:rFonts w:hint="default" w:ascii="Times New Roman" w:hAnsi="Times New Roman" w:eastAsia="宋体" w:cs="Times New Roman"/>
              </w:rPr>
              <w:t>电话</w:t>
            </w:r>
          </w:p>
        </w:tc>
        <w:tc>
          <w:tcPr>
            <w:tcW w:w="1199" w:type="pct"/>
            <w:tcBorders>
              <w:top w:val="single" w:color="000000" w:sz="4" w:space="0"/>
              <w:left w:val="nil"/>
              <w:bottom w:val="single" w:color="000000" w:sz="4" w:space="0"/>
              <w:right w:val="single" w:color="000000" w:sz="4" w:space="0"/>
            </w:tcBorders>
            <w:vAlign w:val="center"/>
          </w:tcPr>
          <w:p w14:paraId="156468BA">
            <w:pPr>
              <w:jc w:val="center"/>
              <w:rPr>
                <w:rFonts w:hint="default" w:ascii="Times New Roman" w:hAnsi="Times New Roman" w:eastAsia="宋体" w:cs="Times New Roman"/>
              </w:rPr>
            </w:pPr>
          </w:p>
        </w:tc>
      </w:tr>
      <w:tr w14:paraId="3848BAA1">
        <w:tblPrEx>
          <w:tblCellMar>
            <w:top w:w="0" w:type="dxa"/>
            <w:left w:w="0" w:type="dxa"/>
            <w:bottom w:w="0" w:type="dxa"/>
            <w:right w:w="0"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04442123">
            <w:pPr>
              <w:jc w:val="center"/>
              <w:rPr>
                <w:rFonts w:hint="default" w:ascii="Times New Roman" w:hAnsi="Times New Roman" w:eastAsia="宋体" w:cs="Times New Roman"/>
              </w:rPr>
            </w:pPr>
          </w:p>
        </w:tc>
        <w:tc>
          <w:tcPr>
            <w:tcW w:w="438" w:type="pct"/>
            <w:tcBorders>
              <w:top w:val="single" w:color="000000" w:sz="4" w:space="0"/>
              <w:left w:val="nil"/>
              <w:bottom w:val="single" w:color="000000" w:sz="4" w:space="0"/>
              <w:right w:val="single" w:color="000000" w:sz="4" w:space="0"/>
            </w:tcBorders>
            <w:vAlign w:val="center"/>
          </w:tcPr>
          <w:p w14:paraId="44B7F33D">
            <w:pPr>
              <w:pStyle w:val="9"/>
              <w:jc w:val="center"/>
              <w:rPr>
                <w:rFonts w:hint="default" w:ascii="Times New Roman" w:hAnsi="Times New Roman" w:eastAsia="宋体" w:cs="Times New Roman"/>
              </w:rPr>
            </w:pPr>
            <w:r>
              <w:rPr>
                <w:rFonts w:hint="default" w:ascii="Times New Roman" w:hAnsi="Times New Roman" w:eastAsia="宋体" w:cs="Times New Roman"/>
              </w:rPr>
              <w:t>邮箱</w:t>
            </w:r>
          </w:p>
        </w:tc>
        <w:tc>
          <w:tcPr>
            <w:tcW w:w="1137" w:type="pct"/>
            <w:tcBorders>
              <w:top w:val="single" w:color="000000" w:sz="4" w:space="0"/>
              <w:left w:val="nil"/>
              <w:bottom w:val="single" w:color="000000" w:sz="4" w:space="0"/>
              <w:right w:val="single" w:color="000000" w:sz="4" w:space="0"/>
            </w:tcBorders>
            <w:vAlign w:val="center"/>
          </w:tcPr>
          <w:p w14:paraId="5FFB357D">
            <w:pPr>
              <w:jc w:val="center"/>
              <w:rPr>
                <w:rFonts w:hint="default" w:ascii="Times New Roman" w:hAnsi="Times New Roman" w:eastAsia="宋体" w:cs="Times New Roman"/>
              </w:rPr>
            </w:pPr>
          </w:p>
        </w:tc>
        <w:tc>
          <w:tcPr>
            <w:tcW w:w="565" w:type="pct"/>
            <w:tcBorders>
              <w:top w:val="single" w:color="000000" w:sz="4" w:space="0"/>
              <w:left w:val="nil"/>
              <w:bottom w:val="single" w:color="000000" w:sz="4" w:space="0"/>
              <w:right w:val="single" w:color="000000" w:sz="4" w:space="0"/>
            </w:tcBorders>
            <w:vAlign w:val="center"/>
          </w:tcPr>
          <w:p w14:paraId="433FDD71">
            <w:pPr>
              <w:pStyle w:val="9"/>
              <w:jc w:val="center"/>
              <w:rPr>
                <w:rFonts w:hint="default" w:ascii="Times New Roman" w:hAnsi="Times New Roman" w:eastAsia="宋体" w:cs="Times New Roman"/>
              </w:rPr>
            </w:pPr>
            <w:r>
              <w:rPr>
                <w:rFonts w:hint="default" w:ascii="Times New Roman" w:hAnsi="Times New Roman" w:eastAsia="宋体" w:cs="Times New Roman"/>
              </w:rPr>
              <w:t>传真</w:t>
            </w:r>
          </w:p>
        </w:tc>
        <w:tc>
          <w:tcPr>
            <w:tcW w:w="1199" w:type="pct"/>
            <w:tcBorders>
              <w:top w:val="single" w:color="000000" w:sz="4" w:space="0"/>
              <w:left w:val="nil"/>
              <w:bottom w:val="single" w:color="000000" w:sz="4" w:space="0"/>
              <w:right w:val="single" w:color="000000" w:sz="4" w:space="0"/>
            </w:tcBorders>
            <w:vAlign w:val="center"/>
          </w:tcPr>
          <w:p w14:paraId="041F1A83">
            <w:pPr>
              <w:jc w:val="center"/>
              <w:rPr>
                <w:rFonts w:hint="default" w:ascii="Times New Roman" w:hAnsi="Times New Roman" w:eastAsia="宋体" w:cs="Times New Roman"/>
              </w:rPr>
            </w:pPr>
          </w:p>
        </w:tc>
      </w:tr>
      <w:tr w14:paraId="02AC9F92">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592C7E51">
            <w:pPr>
              <w:pStyle w:val="9"/>
              <w:jc w:val="center"/>
              <w:rPr>
                <w:rFonts w:hint="default" w:ascii="Times New Roman" w:hAnsi="Times New Roman" w:eastAsia="宋体" w:cs="Times New Roman"/>
              </w:rPr>
            </w:pPr>
            <w:r>
              <w:rPr>
                <w:rFonts w:hint="default" w:ascii="Times New Roman" w:hAnsi="Times New Roman" w:eastAsia="宋体" w:cs="Times New Roman"/>
              </w:rPr>
              <w:t>法定代表人</w:t>
            </w:r>
          </w:p>
          <w:p w14:paraId="1AF6BC60">
            <w:pPr>
              <w:pStyle w:val="9"/>
              <w:jc w:val="center"/>
              <w:rPr>
                <w:rFonts w:hint="default" w:ascii="Times New Roman" w:hAnsi="Times New Roman" w:eastAsia="宋体" w:cs="Times New Roman"/>
              </w:rPr>
            </w:pPr>
            <w:r>
              <w:rPr>
                <w:rFonts w:hint="default" w:ascii="Times New Roman" w:hAnsi="Times New Roman" w:eastAsia="宋体" w:cs="Times New Roman"/>
              </w:rPr>
              <w:t>（单位负责人）</w:t>
            </w:r>
          </w:p>
        </w:tc>
        <w:tc>
          <w:tcPr>
            <w:tcW w:w="438" w:type="pct"/>
            <w:tcBorders>
              <w:top w:val="single" w:color="000000" w:sz="4" w:space="0"/>
              <w:left w:val="nil"/>
              <w:bottom w:val="single" w:color="000000" w:sz="4" w:space="0"/>
              <w:right w:val="single" w:color="000000" w:sz="4" w:space="0"/>
            </w:tcBorders>
            <w:vAlign w:val="center"/>
          </w:tcPr>
          <w:p w14:paraId="06A56547">
            <w:pPr>
              <w:pStyle w:val="9"/>
              <w:jc w:val="center"/>
              <w:rPr>
                <w:rFonts w:hint="default" w:ascii="Times New Roman" w:hAnsi="Times New Roman" w:eastAsia="宋体" w:cs="Times New Roman"/>
              </w:rPr>
            </w:pPr>
            <w:r>
              <w:rPr>
                <w:rFonts w:hint="default" w:ascii="Times New Roman" w:hAnsi="Times New Roman" w:eastAsia="宋体" w:cs="Times New Roman"/>
              </w:rPr>
              <w:t>姓名</w:t>
            </w:r>
          </w:p>
        </w:tc>
        <w:tc>
          <w:tcPr>
            <w:tcW w:w="1137" w:type="pct"/>
            <w:tcBorders>
              <w:top w:val="single" w:color="000000" w:sz="4" w:space="0"/>
              <w:left w:val="nil"/>
              <w:bottom w:val="single" w:color="000000" w:sz="4" w:space="0"/>
              <w:right w:val="single" w:color="000000" w:sz="4" w:space="0"/>
            </w:tcBorders>
            <w:vAlign w:val="center"/>
          </w:tcPr>
          <w:p w14:paraId="122B0354">
            <w:pPr>
              <w:jc w:val="center"/>
              <w:rPr>
                <w:rFonts w:hint="default" w:ascii="Times New Roman" w:hAnsi="Times New Roman" w:eastAsia="宋体" w:cs="Times New Roman"/>
              </w:rPr>
            </w:pPr>
          </w:p>
        </w:tc>
        <w:tc>
          <w:tcPr>
            <w:tcW w:w="565" w:type="pct"/>
            <w:tcBorders>
              <w:top w:val="single" w:color="000000" w:sz="4" w:space="0"/>
              <w:left w:val="nil"/>
              <w:bottom w:val="single" w:color="000000" w:sz="4" w:space="0"/>
              <w:right w:val="single" w:color="000000" w:sz="4" w:space="0"/>
            </w:tcBorders>
            <w:vAlign w:val="center"/>
          </w:tcPr>
          <w:p w14:paraId="172B5947">
            <w:pPr>
              <w:pStyle w:val="9"/>
              <w:jc w:val="center"/>
              <w:rPr>
                <w:rFonts w:hint="default" w:ascii="Times New Roman" w:hAnsi="Times New Roman" w:eastAsia="宋体" w:cs="Times New Roman"/>
              </w:rPr>
            </w:pPr>
            <w:r>
              <w:rPr>
                <w:rFonts w:hint="default" w:ascii="Times New Roman" w:hAnsi="Times New Roman" w:eastAsia="宋体" w:cs="Times New Roman"/>
              </w:rPr>
              <w:t>电话</w:t>
            </w:r>
          </w:p>
        </w:tc>
        <w:tc>
          <w:tcPr>
            <w:tcW w:w="1199" w:type="pct"/>
            <w:tcBorders>
              <w:top w:val="single" w:color="000000" w:sz="4" w:space="0"/>
              <w:left w:val="nil"/>
              <w:bottom w:val="single" w:color="000000" w:sz="4" w:space="0"/>
              <w:right w:val="single" w:color="000000" w:sz="4" w:space="0"/>
            </w:tcBorders>
            <w:vAlign w:val="center"/>
          </w:tcPr>
          <w:p w14:paraId="750CAF43">
            <w:pPr>
              <w:jc w:val="center"/>
              <w:rPr>
                <w:rFonts w:hint="default" w:ascii="Times New Roman" w:hAnsi="Times New Roman" w:eastAsia="宋体" w:cs="Times New Roman"/>
              </w:rPr>
            </w:pPr>
          </w:p>
        </w:tc>
      </w:tr>
      <w:tr w14:paraId="51CB4793">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33724BD4">
            <w:pPr>
              <w:pStyle w:val="9"/>
              <w:jc w:val="center"/>
              <w:rPr>
                <w:rFonts w:hint="default" w:ascii="Times New Roman" w:hAnsi="Times New Roman" w:eastAsia="宋体" w:cs="Times New Roman"/>
              </w:rPr>
            </w:pPr>
            <w:r>
              <w:rPr>
                <w:rFonts w:hint="default" w:ascii="Times New Roman" w:hAnsi="Times New Roman" w:eastAsia="宋体" w:cs="Times New Roman"/>
              </w:rPr>
              <w:t>与本项目采购需求相关的资质证书（提醒：本项目采购品目为其他医疗卫生服务）</w:t>
            </w:r>
          </w:p>
        </w:tc>
        <w:tc>
          <w:tcPr>
            <w:tcW w:w="3341" w:type="pct"/>
            <w:gridSpan w:val="4"/>
            <w:tcBorders>
              <w:top w:val="single" w:color="000000" w:sz="4" w:space="0"/>
              <w:left w:val="nil"/>
              <w:bottom w:val="single" w:color="000000" w:sz="4" w:space="0"/>
              <w:right w:val="single" w:color="000000" w:sz="4" w:space="0"/>
            </w:tcBorders>
            <w:vAlign w:val="center"/>
          </w:tcPr>
          <w:p w14:paraId="42D3C8CD">
            <w:pPr>
              <w:pStyle w:val="9"/>
              <w:jc w:val="center"/>
              <w:rPr>
                <w:rFonts w:hint="default" w:ascii="Times New Roman" w:hAnsi="Times New Roman" w:eastAsia="宋体" w:cs="Times New Roman"/>
              </w:rPr>
            </w:pPr>
          </w:p>
        </w:tc>
      </w:tr>
      <w:tr w14:paraId="4C675334">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7E85A9D7">
            <w:pPr>
              <w:pStyle w:val="9"/>
              <w:jc w:val="center"/>
              <w:rPr>
                <w:rFonts w:hint="default" w:ascii="Times New Roman" w:hAnsi="Times New Roman" w:eastAsia="宋体" w:cs="Times New Roman"/>
                <w:sz w:val="21"/>
              </w:rPr>
            </w:pPr>
            <w:r>
              <w:rPr>
                <w:rFonts w:hint="default" w:ascii="Times New Roman" w:hAnsi="Times New Roman" w:eastAsia="宋体" w:cs="Times New Roman"/>
                <w:sz w:val="21"/>
              </w:rPr>
              <w:t>企业规模情况（根据本项目采购标的对应的中小企业划分标准所属行业，</w:t>
            </w:r>
            <w:r>
              <w:rPr>
                <w:rFonts w:hint="default" w:ascii="Times New Roman" w:hAnsi="Times New Roman" w:eastAsia="宋体" w:cs="Times New Roman"/>
              </w:rPr>
              <w:t>如是中小微企业，请供应商登陆https://xwqy.gsxt.gov.cn/进行查询，附上截图</w:t>
            </w:r>
            <w:r>
              <w:rPr>
                <w:rFonts w:hint="default" w:ascii="Times New Roman" w:hAnsi="Times New Roman" w:eastAsia="宋体" w:cs="Times New Roman"/>
                <w:sz w:val="21"/>
              </w:rPr>
              <w:t>）</w:t>
            </w:r>
          </w:p>
        </w:tc>
        <w:tc>
          <w:tcPr>
            <w:tcW w:w="3341" w:type="pct"/>
            <w:gridSpan w:val="4"/>
            <w:tcBorders>
              <w:top w:val="single" w:color="000000" w:sz="4" w:space="0"/>
              <w:left w:val="nil"/>
              <w:bottom w:val="single" w:color="000000" w:sz="4" w:space="0"/>
              <w:right w:val="single" w:color="000000" w:sz="4" w:space="0"/>
            </w:tcBorders>
            <w:vAlign w:val="center"/>
          </w:tcPr>
          <w:p w14:paraId="6E0E6C36">
            <w:pPr>
              <w:pStyle w:val="9"/>
              <w:jc w:val="center"/>
              <w:rPr>
                <w:rFonts w:hint="default" w:ascii="Times New Roman" w:hAnsi="Times New Roman" w:eastAsia="宋体" w:cs="Times New Roman"/>
              </w:rPr>
            </w:pPr>
            <w:r>
              <w:rPr>
                <w:rFonts w:hint="default" w:ascii="Times New Roman" w:hAnsi="Times New Roman" w:eastAsia="宋体" w:cs="Times New Roman"/>
              </w:rPr>
              <w:t xml:space="preserve">大型企业（  ）  中型企业（  ）  小型企业（  ） </w:t>
            </w:r>
          </w:p>
          <w:p w14:paraId="68D19C55">
            <w:pPr>
              <w:pStyle w:val="9"/>
              <w:jc w:val="center"/>
              <w:rPr>
                <w:rFonts w:hint="default" w:ascii="Times New Roman" w:hAnsi="Times New Roman" w:eastAsia="宋体" w:cs="Times New Roman"/>
              </w:rPr>
            </w:pPr>
            <w:r>
              <w:rPr>
                <w:rFonts w:hint="default" w:ascii="Times New Roman" w:hAnsi="Times New Roman" w:eastAsia="宋体" w:cs="Times New Roman"/>
              </w:rPr>
              <w:t xml:space="preserve"> 微小型企业（   ）</w:t>
            </w:r>
          </w:p>
        </w:tc>
      </w:tr>
      <w:tr w14:paraId="738E35CD">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32EFC211">
            <w:pPr>
              <w:pStyle w:val="9"/>
              <w:jc w:val="center"/>
              <w:rPr>
                <w:rFonts w:hint="default" w:ascii="Times New Roman" w:hAnsi="Times New Roman" w:eastAsia="宋体" w:cs="Times New Roman"/>
              </w:rPr>
            </w:pPr>
            <w:r>
              <w:rPr>
                <w:rFonts w:hint="default" w:ascii="Times New Roman" w:hAnsi="Times New Roman" w:eastAsia="宋体" w:cs="Times New Roman"/>
              </w:rPr>
              <w:t>备注</w:t>
            </w:r>
          </w:p>
        </w:tc>
        <w:tc>
          <w:tcPr>
            <w:tcW w:w="3341" w:type="pct"/>
            <w:gridSpan w:val="4"/>
            <w:tcBorders>
              <w:top w:val="single" w:color="000000" w:sz="4" w:space="0"/>
              <w:left w:val="nil"/>
              <w:bottom w:val="single" w:color="000000" w:sz="4" w:space="0"/>
              <w:right w:val="single" w:color="000000" w:sz="4" w:space="0"/>
            </w:tcBorders>
            <w:vAlign w:val="center"/>
          </w:tcPr>
          <w:p w14:paraId="32F4C74A">
            <w:pPr>
              <w:jc w:val="center"/>
              <w:rPr>
                <w:rFonts w:hint="default" w:ascii="Times New Roman" w:hAnsi="Times New Roman" w:eastAsia="宋体" w:cs="Times New Roman"/>
              </w:rPr>
            </w:pPr>
          </w:p>
        </w:tc>
      </w:tr>
    </w:tbl>
    <w:p w14:paraId="31B2E419">
      <w:pPr>
        <w:pStyle w:val="8"/>
        <w:ind w:left="0" w:leftChars="0" w:firstLine="0" w:firstLineChars="0"/>
        <w:rPr>
          <w:rFonts w:hint="eastAsia"/>
          <w:b/>
          <w:bCs/>
          <w:sz w:val="24"/>
          <w:szCs w:val="24"/>
        </w:rPr>
      </w:pPr>
      <w:r>
        <w:rPr>
          <w:rFonts w:hint="eastAsia"/>
          <w:b/>
          <w:bCs/>
          <w:sz w:val="24"/>
          <w:szCs w:val="24"/>
        </w:rPr>
        <w:t>2.供应商基本情况调查：（满足的请打勾）</w:t>
      </w:r>
    </w:p>
    <w:p w14:paraId="36E558D7">
      <w:pPr>
        <w:ind w:firstLine="420" w:firstLineChars="200"/>
        <w:rPr>
          <w:rFonts w:hint="eastAsia"/>
        </w:rPr>
      </w:pPr>
      <w:r>
        <w:rPr>
          <w:rFonts w:hint="eastAsia"/>
        </w:rPr>
        <w:t>2.1满足具备《政府采购法》第二十二条规定的条件。《政府采购法》第二十二条规定</w:t>
      </w:r>
      <w:r>
        <w:rPr>
          <w:rFonts w:hint="eastAsia"/>
          <w:lang w:eastAsia="zh-CN"/>
        </w:rPr>
        <w:t>：</w:t>
      </w:r>
      <w:r>
        <w:rPr>
          <w:rFonts w:hint="eastAsia"/>
        </w:rPr>
        <w:t>(一)具有独立承担民事责任的能力；(二)具有良好的商业信誉和健全的财务会计制度；(三)具有履行合同所必需的设备和专业技术能力； (四)有依法缴纳税收和社会保障资金的良好记录；(五)参加政府采购活动前三年内，在经营活动中没有重大违法记录；(六)法律、行政法规规定的其他条件。采购人可以根据采购项目的特殊要求，规定供应商的特定条件，但不得以不合理的条件对供应商实行差别待遇或者歧视待遇。（  ）</w:t>
      </w:r>
    </w:p>
    <w:p w14:paraId="178E0E11">
      <w:pPr>
        <w:ind w:firstLine="420" w:firstLineChars="200"/>
        <w:rPr>
          <w:rFonts w:hint="eastAsia"/>
        </w:rPr>
      </w:pPr>
      <w:r>
        <w:rPr>
          <w:rFonts w:hint="eastAsia"/>
        </w:rPr>
        <w:t>2.2具有独立承担民事责任能力的在中华人民共和国境内注册的法人或其他组织或自然人。（  ）</w:t>
      </w:r>
    </w:p>
    <w:p w14:paraId="3FBE7379">
      <w:pPr>
        <w:ind w:firstLine="420" w:firstLineChars="200"/>
        <w:rPr>
          <w:rFonts w:hint="eastAsia"/>
        </w:rPr>
      </w:pPr>
      <w:r>
        <w:rPr>
          <w:rFonts w:hint="eastAsia"/>
        </w:rPr>
        <w:t>2.3具有良好的商业信誉和健全的财务会计制度。（  ）</w:t>
      </w:r>
    </w:p>
    <w:p w14:paraId="0860C5DF">
      <w:pPr>
        <w:ind w:firstLine="420" w:firstLineChars="200"/>
        <w:rPr>
          <w:rFonts w:hint="eastAsia"/>
        </w:rPr>
      </w:pPr>
      <w:r>
        <w:rPr>
          <w:rFonts w:hint="eastAsia"/>
        </w:rPr>
        <w:t>2.4.具有履行合同所必需的设备和专业技术能力。（  ）</w:t>
      </w:r>
    </w:p>
    <w:p w14:paraId="0393B87C">
      <w:pPr>
        <w:ind w:firstLine="420" w:firstLineChars="200"/>
        <w:rPr>
          <w:rFonts w:hint="eastAsia"/>
        </w:rPr>
      </w:pPr>
      <w:r>
        <w:rPr>
          <w:rFonts w:hint="eastAsia"/>
        </w:rPr>
        <w:t>2.5具有依法缴纳税收和社会保障资金的良好记录。（  ）</w:t>
      </w:r>
    </w:p>
    <w:p w14:paraId="55191090">
      <w:pPr>
        <w:ind w:firstLine="420" w:firstLineChars="200"/>
        <w:rPr>
          <w:rFonts w:hint="eastAsia"/>
        </w:rPr>
      </w:pPr>
      <w:r>
        <w:rPr>
          <w:rFonts w:hint="eastAsia"/>
        </w:rPr>
        <w:t>2.</w:t>
      </w:r>
      <w:r>
        <w:t>6</w:t>
      </w:r>
      <w:r>
        <w:rPr>
          <w:rFonts w:hint="eastAsia"/>
        </w:rPr>
        <w:t>.投标人是否有参加政府采购活动前3年内在经营活动中没有重大违法记录的书面声明；</w:t>
      </w:r>
    </w:p>
    <w:p w14:paraId="3D9D41E6">
      <w:pPr>
        <w:ind w:firstLine="420" w:firstLineChars="200"/>
        <w:rPr>
          <w:rFonts w:hint="eastAsia"/>
        </w:rPr>
      </w:pPr>
      <w:r>
        <w:rPr>
          <w:rFonts w:hint="eastAsia"/>
        </w:rPr>
        <w:t>2.</w:t>
      </w:r>
      <w:r>
        <w:t>7</w:t>
      </w:r>
      <w:r>
        <w:rPr>
          <w:rFonts w:hint="eastAsia"/>
        </w:rPr>
        <w:t>.投标人是否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说明：①、由负责资格性审查人员于投标截止日在“信用中国”网站（www.creditchina.gov.cn）及中国政府采购网(www.ccgp.gov.cn)查询结果为准。②、在上述网站查询结果显示“很抱歉，没有找到您搜索的企业”或“共0条记录”，视为没有上述不良信用信息记录 。③、采购代理机构同时对信用信息查询记录和证据截图或下载存档。）；</w:t>
      </w:r>
    </w:p>
    <w:p w14:paraId="54F5E95F">
      <w:pPr>
        <w:ind w:firstLine="420" w:firstLineChars="200"/>
        <w:rPr>
          <w:rFonts w:hint="eastAsia"/>
        </w:rPr>
      </w:pPr>
      <w:r>
        <w:rPr>
          <w:rFonts w:hint="eastAsia"/>
        </w:rPr>
        <w:t>2.8.投标人是否为独立的第三方实验室；（请附资料说明，含检验项目手册）</w:t>
      </w:r>
    </w:p>
    <w:p w14:paraId="7906D306">
      <w:pPr>
        <w:ind w:firstLine="420" w:firstLineChars="200"/>
        <w:rPr>
          <w:rFonts w:hint="eastAsia"/>
        </w:rPr>
      </w:pPr>
      <w:r>
        <w:rPr>
          <w:rFonts w:hint="eastAsia"/>
        </w:rPr>
        <w:t>2.9.投标人是否与单位负责人为同一人或者存在控股、管理关系的不同单位。(投标人出具声明函)</w:t>
      </w:r>
    </w:p>
    <w:p w14:paraId="15DA9481">
      <w:pPr>
        <w:pStyle w:val="2"/>
        <w:rPr>
          <w:rFonts w:hint="eastAsia"/>
          <w:b/>
          <w:bCs/>
          <w:sz w:val="24"/>
          <w:szCs w:val="24"/>
        </w:rPr>
      </w:pPr>
      <w:r>
        <w:rPr>
          <w:rFonts w:hint="eastAsia"/>
          <w:b/>
          <w:bCs/>
          <w:sz w:val="24"/>
          <w:szCs w:val="24"/>
          <w:lang w:val="en-US" w:eastAsia="zh-CN"/>
        </w:rPr>
        <w:t>二、</w:t>
      </w:r>
      <w:r>
        <w:rPr>
          <w:rFonts w:hint="eastAsia"/>
          <w:b/>
          <w:bCs/>
          <w:sz w:val="24"/>
          <w:szCs w:val="24"/>
        </w:rPr>
        <w:t>相关产业发展及市场供给情况（请供应商附上相关资料说明）</w:t>
      </w:r>
    </w:p>
    <w:p w14:paraId="45A0EEAE">
      <w:pPr>
        <w:pStyle w:val="2"/>
        <w:ind w:firstLine="420" w:firstLineChars="200"/>
        <w:rPr>
          <w:rFonts w:hint="eastAsia" w:ascii="宋体" w:eastAsia="宋体" w:cs="宋体"/>
          <w:b w:val="0"/>
          <w:bCs w:val="0"/>
          <w:sz w:val="21"/>
          <w:szCs w:val="21"/>
          <w:lang w:eastAsia="zh-CN"/>
        </w:rPr>
      </w:pPr>
      <w:r>
        <w:rPr>
          <w:rFonts w:hint="eastAsia" w:ascii="Times New Roman" w:hAnsi="Times New Roman" w:cs="Times New Roman"/>
          <w:sz w:val="21"/>
          <w:szCs w:val="21"/>
          <w:lang w:val="en-US" w:eastAsia="zh-CN"/>
        </w:rPr>
        <w:t>1.病原微生物高通量测序技术在</w:t>
      </w:r>
      <w:r>
        <w:rPr>
          <w:rFonts w:hint="eastAsia" w:ascii="宋体" w:eastAsia="宋体" w:cs="宋体"/>
          <w:b w:val="0"/>
          <w:bCs w:val="0"/>
          <w:sz w:val="21"/>
          <w:szCs w:val="21"/>
        </w:rPr>
        <w:t>国内技术水平、行业发展情况及市场供给情况。（请附资料说明</w:t>
      </w:r>
      <w:r>
        <w:rPr>
          <w:rFonts w:hint="eastAsia" w:cs="宋体"/>
          <w:b w:val="0"/>
          <w:bCs w:val="0"/>
          <w:sz w:val="21"/>
          <w:szCs w:val="21"/>
          <w:lang w:eastAsia="zh-CN"/>
        </w:rPr>
        <w:t>）</w:t>
      </w:r>
    </w:p>
    <w:p w14:paraId="6FDB7BDB">
      <w:pPr>
        <w:pStyle w:val="2"/>
        <w:ind w:firstLine="420" w:firstLineChars="200"/>
        <w:rPr>
          <w:rFonts w:hint="default" w:ascii="Times New Roman" w:hAnsi="Times New Roman" w:eastAsia="宋体" w:cs="Times New Roman"/>
          <w:sz w:val="21"/>
          <w:szCs w:val="21"/>
        </w:rPr>
      </w:pPr>
      <w:r>
        <w:rPr>
          <w:rFonts w:hint="eastAsia" w:cs="宋体"/>
          <w:b w:val="0"/>
          <w:bCs w:val="0"/>
          <w:sz w:val="21"/>
          <w:szCs w:val="21"/>
          <w:lang w:val="en-US" w:eastAsia="zh-CN"/>
        </w:rPr>
        <w:t>2.</w:t>
      </w:r>
      <w:r>
        <w:rPr>
          <w:rFonts w:hint="eastAsia" w:ascii="宋体" w:eastAsia="宋体" w:cs="宋体"/>
          <w:b w:val="0"/>
          <w:bCs w:val="0"/>
          <w:sz w:val="21"/>
          <w:szCs w:val="21"/>
          <w:lang w:val="en-US" w:eastAsia="zh-CN"/>
        </w:rPr>
        <w:t>投标人单位</w:t>
      </w:r>
      <w:r>
        <w:rPr>
          <w:rFonts w:hint="eastAsia" w:ascii="宋体" w:eastAsia="宋体" w:cs="宋体"/>
          <w:b w:val="0"/>
          <w:bCs w:val="0"/>
          <w:sz w:val="21"/>
          <w:szCs w:val="21"/>
        </w:rPr>
        <w:t>开展</w:t>
      </w:r>
      <w:r>
        <w:rPr>
          <w:rFonts w:hint="eastAsia" w:ascii="Times New Roman" w:hAnsi="Times New Roman" w:cs="Times New Roman"/>
          <w:sz w:val="21"/>
          <w:szCs w:val="21"/>
          <w:lang w:val="en-US" w:eastAsia="zh-CN"/>
        </w:rPr>
        <w:t>病原微生物高通量测序技术</w:t>
      </w:r>
      <w:r>
        <w:rPr>
          <w:rFonts w:hint="eastAsia" w:ascii="宋体" w:eastAsia="宋体" w:cs="宋体"/>
          <w:b w:val="0"/>
          <w:bCs w:val="0"/>
          <w:sz w:val="21"/>
          <w:szCs w:val="21"/>
        </w:rPr>
        <w:t>的自身发展情况及优势。（请附资料说明）</w:t>
      </w:r>
    </w:p>
    <w:p w14:paraId="6ADC038B">
      <w:pPr>
        <w:ind w:firstLine="420" w:firstLineChars="200"/>
        <w:rPr>
          <w:rFonts w:hint="eastAsia" w:ascii="宋体" w:hAnsi="宋体" w:cs="宋体"/>
          <w:szCs w:val="21"/>
        </w:rPr>
      </w:pPr>
      <w:r>
        <w:rPr>
          <w:rFonts w:hint="eastAsia" w:ascii="宋体" w:hAnsi="宋体" w:cs="宋体"/>
          <w:szCs w:val="21"/>
        </w:rPr>
        <w:t>3.</w:t>
      </w:r>
      <w:r>
        <w:rPr>
          <w:rFonts w:hint="eastAsia" w:ascii="Times New Roman" w:hAnsi="Times New Roman" w:cs="Times New Roman"/>
          <w:sz w:val="21"/>
          <w:szCs w:val="21"/>
          <w:lang w:val="en-US" w:eastAsia="zh-CN"/>
        </w:rPr>
        <w:t>病原微生物高通量测序技术</w:t>
      </w:r>
      <w:r>
        <w:rPr>
          <w:rFonts w:hint="eastAsia" w:ascii="宋体" w:hAnsi="宋体" w:cs="宋体"/>
          <w:szCs w:val="21"/>
        </w:rPr>
        <w:t>涉及的相关标准和规范（请详细列出）</w:t>
      </w:r>
    </w:p>
    <w:p w14:paraId="1E7B714B">
      <w:pPr>
        <w:ind w:firstLine="420" w:firstLineChars="200"/>
        <w:rPr>
          <w:rFonts w:hint="eastAsia" w:ascii="宋体" w:hAnsi="宋体" w:cs="宋体"/>
          <w:szCs w:val="21"/>
        </w:rPr>
      </w:pPr>
      <w:r>
        <w:rPr>
          <w:rFonts w:hint="eastAsia" w:ascii="宋体" w:hAnsi="宋体" w:cs="宋体"/>
          <w:szCs w:val="21"/>
        </w:rPr>
        <w:t>4.请说明开展</w:t>
      </w:r>
      <w:r>
        <w:rPr>
          <w:rFonts w:hint="eastAsia" w:ascii="Times New Roman" w:hAnsi="Times New Roman" w:cs="Times New Roman"/>
          <w:sz w:val="21"/>
          <w:szCs w:val="21"/>
          <w:lang w:val="en-US" w:eastAsia="zh-CN"/>
        </w:rPr>
        <w:t>病原微生物高通量测序技术</w:t>
      </w:r>
      <w:r>
        <w:rPr>
          <w:rFonts w:hint="eastAsia" w:ascii="宋体" w:cs="宋体"/>
          <w:b w:val="0"/>
          <w:bCs w:val="0"/>
          <w:szCs w:val="21"/>
        </w:rPr>
        <w:t>的</w:t>
      </w:r>
      <w:r>
        <w:rPr>
          <w:rFonts w:hint="eastAsia" w:ascii="宋体" w:hAnsi="宋体" w:cs="宋体"/>
          <w:szCs w:val="21"/>
        </w:rPr>
        <w:t>资质要求。</w:t>
      </w:r>
    </w:p>
    <w:p w14:paraId="5AE2275C">
      <w:pPr>
        <w:rPr>
          <w:rFonts w:hint="eastAsia"/>
          <w:b/>
          <w:bCs/>
          <w:sz w:val="24"/>
          <w:szCs w:val="24"/>
        </w:rPr>
      </w:pPr>
      <w:r>
        <w:rPr>
          <w:rFonts w:hint="eastAsia"/>
          <w:b/>
          <w:bCs/>
          <w:sz w:val="24"/>
          <w:szCs w:val="24"/>
          <w:lang w:val="en-US" w:eastAsia="zh-CN"/>
        </w:rPr>
        <w:t>三、</w:t>
      </w:r>
      <w:r>
        <w:rPr>
          <w:rFonts w:hint="eastAsia"/>
          <w:b/>
          <w:bCs/>
          <w:sz w:val="24"/>
          <w:szCs w:val="24"/>
        </w:rPr>
        <w:t>与项目相关的调查指标</w:t>
      </w:r>
    </w:p>
    <w:p w14:paraId="310CEBC9">
      <w:pPr>
        <w:rPr>
          <w:rFonts w:hint="eastAsia"/>
          <w:b/>
          <w:bCs/>
          <w:sz w:val="24"/>
          <w:szCs w:val="24"/>
        </w:rPr>
      </w:pPr>
      <w:r>
        <w:rPr>
          <w:rFonts w:hint="eastAsia"/>
          <w:b/>
          <w:bCs/>
          <w:sz w:val="24"/>
          <w:szCs w:val="24"/>
        </w:rPr>
        <w:t>（一）质量技术情况调查（请提供相关证明材料）</w:t>
      </w:r>
    </w:p>
    <w:p w14:paraId="41DE595B">
      <w:pPr>
        <w:ind w:firstLine="420" w:firstLineChars="200"/>
        <w:rPr>
          <w:rFonts w:hint="eastAsia"/>
        </w:rPr>
      </w:pPr>
      <w:r>
        <w:rPr>
          <w:rFonts w:hint="eastAsia"/>
          <w:lang w:val="en-US" w:eastAsia="zh-CN"/>
        </w:rPr>
        <w:t>1.</w:t>
      </w:r>
      <w:r>
        <w:rPr>
          <w:rFonts w:hint="eastAsia"/>
        </w:rPr>
        <w:t>投标人是否获得临检基因扩增检验实验室验收合格证书、病原微生物高通量</w:t>
      </w:r>
      <w:r>
        <w:rPr>
          <w:rFonts w:hint="eastAsia"/>
          <w:lang w:val="en-US" w:eastAsia="zh-CN"/>
        </w:rPr>
        <w:t>测序</w:t>
      </w:r>
      <w:r>
        <w:rPr>
          <w:rFonts w:hint="eastAsia"/>
        </w:rPr>
        <w:t>检测</w:t>
      </w:r>
      <w:r>
        <w:rPr>
          <w:rFonts w:hint="eastAsia"/>
          <w:lang w:val="en-US" w:eastAsia="zh-CN"/>
        </w:rPr>
        <w:t>的</w:t>
      </w:r>
      <w:r>
        <w:rPr>
          <w:rFonts w:hint="eastAsia"/>
        </w:rPr>
        <w:t>室间质评证书，有完整的培训体系。</w:t>
      </w:r>
    </w:p>
    <w:p w14:paraId="1147FCA8">
      <w:pPr>
        <w:ind w:firstLine="420" w:firstLineChars="200"/>
        <w:rPr>
          <w:rFonts w:hint="eastAsia"/>
        </w:rPr>
      </w:pPr>
      <w:r>
        <w:rPr>
          <w:rFonts w:hint="eastAsia"/>
          <w:lang w:val="en-US" w:eastAsia="zh-CN"/>
        </w:rPr>
        <w:t>2.</w:t>
      </w:r>
      <w:r>
        <w:rPr>
          <w:rFonts w:hint="eastAsia"/>
        </w:rPr>
        <w:t>投标实验室是否拥有权威机构的技术支撑，能依托权威技术支撑机构，以及医院的资源，协助医院开展进修培训、协助医院开展继续教育、学术交流活动。</w:t>
      </w:r>
    </w:p>
    <w:p w14:paraId="1B13CE36">
      <w:pPr>
        <w:ind w:firstLine="420" w:firstLineChars="200"/>
        <w:rPr>
          <w:rFonts w:hint="eastAsia"/>
        </w:rPr>
      </w:pPr>
      <w:r>
        <w:rPr>
          <w:rFonts w:hint="eastAsia"/>
          <w:lang w:val="en-US" w:eastAsia="zh-CN"/>
        </w:rPr>
        <w:t>3.</w:t>
      </w:r>
      <w:r>
        <w:rPr>
          <w:rFonts w:hint="eastAsia"/>
        </w:rPr>
        <w:t>投标人实验室是否为省级或以上基因检测技术应用示范中心。</w:t>
      </w:r>
    </w:p>
    <w:p w14:paraId="38311FC8">
      <w:pPr>
        <w:ind w:firstLine="420" w:firstLineChars="200"/>
        <w:rPr>
          <w:rFonts w:hint="eastAsia"/>
        </w:rPr>
      </w:pPr>
      <w:r>
        <w:rPr>
          <w:rFonts w:hint="eastAsia"/>
          <w:lang w:val="en-US" w:eastAsia="zh-CN"/>
        </w:rPr>
        <w:t>4.</w:t>
      </w:r>
      <w:r>
        <w:rPr>
          <w:rFonts w:hint="eastAsia"/>
        </w:rPr>
        <w:t xml:space="preserve">投标人实验室是否具有完善的质量管理体系，包括但不限于： </w:t>
      </w:r>
    </w:p>
    <w:p w14:paraId="4F9D162B">
      <w:pPr>
        <w:ind w:firstLine="420" w:firstLineChars="200"/>
        <w:rPr>
          <w:rFonts w:hint="eastAsia"/>
        </w:rPr>
      </w:pPr>
      <w:r>
        <w:rPr>
          <w:rFonts w:hint="eastAsia"/>
        </w:rPr>
        <w:t>(1)是否随时接受并妥善安排用户查阅项目检测、质量控制等情况。定期提供委托项目的样本周转时间（TAT）分析，对于用户提出的要求及时反馈并更正；</w:t>
      </w:r>
    </w:p>
    <w:p w14:paraId="586859A5">
      <w:pPr>
        <w:ind w:firstLine="420" w:firstLineChars="200"/>
        <w:rPr>
          <w:rFonts w:hint="eastAsia"/>
        </w:rPr>
      </w:pPr>
      <w:r>
        <w:rPr>
          <w:rFonts w:hint="eastAsia"/>
        </w:rPr>
        <w:t>(2)是否提供项目的受控SOP文件、室间质评的合格证书等资料供我院分子医学中心或其他相关实验室审核；</w:t>
      </w:r>
    </w:p>
    <w:p w14:paraId="3643E99B">
      <w:pPr>
        <w:ind w:firstLine="420" w:firstLineChars="200"/>
        <w:rPr>
          <w:rFonts w:hint="eastAsia"/>
        </w:rPr>
      </w:pPr>
      <w:r>
        <w:rPr>
          <w:rFonts w:hint="eastAsia"/>
        </w:rPr>
        <w:t>(3)是否按用户要求，随时提供质量和技术资料，如更换试剂批号、仪器维修后、检验系统更换后的质控记录和性能验证报告。</w:t>
      </w:r>
    </w:p>
    <w:p w14:paraId="6665B0E7">
      <w:pPr>
        <w:rPr>
          <w:rFonts w:hint="eastAsia"/>
          <w:b/>
          <w:bCs/>
          <w:sz w:val="24"/>
          <w:szCs w:val="24"/>
        </w:rPr>
      </w:pPr>
      <w:r>
        <w:rPr>
          <w:rFonts w:hint="eastAsia"/>
          <w:b/>
          <w:bCs/>
          <w:sz w:val="24"/>
          <w:szCs w:val="24"/>
        </w:rPr>
        <w:t>（二）服务团队方案</w:t>
      </w:r>
    </w:p>
    <w:p w14:paraId="664086B3">
      <w:pPr>
        <w:rPr>
          <w:rFonts w:hint="eastAsia"/>
        </w:rPr>
      </w:pPr>
      <w:r>
        <w:rPr>
          <w:rFonts w:hint="eastAsia"/>
        </w:rPr>
        <w:t xml:space="preserve"> </w:t>
      </w:r>
      <w:r>
        <w:rPr>
          <w:rFonts w:hint="eastAsia"/>
          <w:lang w:val="en-US" w:eastAsia="zh-CN"/>
        </w:rPr>
        <w:t xml:space="preserve">   </w:t>
      </w:r>
      <w:r>
        <w:rPr>
          <w:rFonts w:hint="eastAsia"/>
        </w:rPr>
        <w:t>投标人所委派本项目的人员配备（标明本包组项目不同职称人员数目）、职责，提供完备的服务团队，包括项目负责人、技术人员等需具备检验资格卫生技术、临床基因扩增检验技术证书等。（注：需提供相关人员的资格证书复印件并加盖投标人公章，提供项目团队成员社保证明（窗口打印件或网上截图均可）或劳动关系证明。）</w:t>
      </w:r>
    </w:p>
    <w:p w14:paraId="547C79BC">
      <w:pPr>
        <w:pStyle w:val="8"/>
        <w:numPr>
          <w:ilvl w:val="0"/>
          <w:numId w:val="1"/>
        </w:numPr>
        <w:ind w:firstLineChars="0"/>
        <w:rPr>
          <w:rFonts w:hint="eastAsia"/>
          <w:b/>
          <w:bCs/>
          <w:sz w:val="24"/>
          <w:szCs w:val="24"/>
        </w:rPr>
      </w:pPr>
      <w:r>
        <w:rPr>
          <w:rFonts w:hint="eastAsia"/>
          <w:b/>
          <w:bCs/>
          <w:sz w:val="24"/>
          <w:szCs w:val="24"/>
        </w:rPr>
        <w:t>标本收集、运送方案</w:t>
      </w:r>
    </w:p>
    <w:p w14:paraId="2FED1F16">
      <w:pPr>
        <w:pStyle w:val="8"/>
        <w:numPr>
          <w:ilvl w:val="0"/>
          <w:numId w:val="0"/>
        </w:numPr>
        <w:ind w:firstLine="420" w:firstLineChars="200"/>
        <w:rPr>
          <w:rFonts w:hint="eastAsia"/>
        </w:rPr>
      </w:pPr>
      <w:r>
        <w:rPr>
          <w:rFonts w:hint="eastAsia"/>
          <w:lang w:val="en-US" w:eastAsia="zh-CN"/>
        </w:rPr>
        <w:t>1.</w:t>
      </w:r>
      <w:r>
        <w:rPr>
          <w:rFonts w:hint="eastAsia"/>
        </w:rPr>
        <w:t>投标人是否制定有完善的标本采集、运输、贮存、结果发放的制度，具有药品冷链物流运作规范国家标准达标与生物安全要求并被切实执行，同时必须配备完善医疗冷链物流系统和信息服务体系，要保证接收、送检标本运输过程的安全，保证标本的质量（需提供相关证明文件）。</w:t>
      </w:r>
    </w:p>
    <w:p w14:paraId="28059782">
      <w:pPr>
        <w:pStyle w:val="8"/>
        <w:numPr>
          <w:ilvl w:val="0"/>
          <w:numId w:val="0"/>
        </w:numPr>
        <w:ind w:firstLine="420" w:firstLineChars="200"/>
        <w:rPr>
          <w:rFonts w:hint="eastAsia"/>
        </w:rPr>
      </w:pPr>
      <w:r>
        <w:rPr>
          <w:rFonts w:hint="eastAsia"/>
        </w:rPr>
        <w:t>2</w:t>
      </w:r>
      <w:r>
        <w:rPr>
          <w:rFonts w:hint="eastAsia"/>
          <w:lang w:eastAsia="zh-CN"/>
        </w:rPr>
        <w:t>.</w:t>
      </w:r>
      <w:r>
        <w:rPr>
          <w:rFonts w:hint="eastAsia"/>
        </w:rPr>
        <w:t>投标人可检测的样本类型包括但不限于以下种类：全血标本、血浆标本、呼吸道标本、脑脊液标本、胸水标本、腹水标本、组织标本、囊肿标本、骨关节感染标本、尿液标本。且提供相应的样本接收手册等技术指导文件，对样本采集和质量要求提供技术指导。</w:t>
      </w:r>
    </w:p>
    <w:p w14:paraId="15823622">
      <w:pPr>
        <w:rPr>
          <w:rFonts w:hint="eastAsia"/>
          <w:b/>
          <w:bCs/>
          <w:sz w:val="24"/>
          <w:szCs w:val="24"/>
        </w:rPr>
      </w:pPr>
      <w:r>
        <w:rPr>
          <w:rFonts w:hint="eastAsia"/>
          <w:b/>
          <w:bCs/>
          <w:sz w:val="24"/>
          <w:szCs w:val="24"/>
        </w:rPr>
        <w:t>（四）投标人实验及生信平台要提供以下参数（需提供相关证明文件）。</w:t>
      </w:r>
    </w:p>
    <w:p w14:paraId="30F00C96">
      <w:pPr>
        <w:pStyle w:val="2"/>
        <w:ind w:firstLine="420" w:firstLineChars="200"/>
        <w:rPr>
          <w:rFonts w:hint="eastAsia"/>
        </w:rPr>
      </w:pPr>
      <w:r>
        <w:rPr>
          <w:rFonts w:hint="eastAsia"/>
        </w:rPr>
        <w:t>1.本地实验室可处理和检测能力要求不低于每日400个样本；</w:t>
      </w:r>
    </w:p>
    <w:p w14:paraId="041FA10D">
      <w:pPr>
        <w:pStyle w:val="2"/>
        <w:ind w:firstLine="420" w:firstLineChars="200"/>
        <w:rPr>
          <w:rFonts w:hint="eastAsia"/>
        </w:rPr>
      </w:pPr>
      <w:r>
        <w:rPr>
          <w:rFonts w:hint="eastAsia"/>
        </w:rPr>
        <w:t>2.投标人需使用二代基因测序平台进行宏基因组检测，该平台需要具有中华人民共和国医疗器械注册证，对来源于人体样本的脱氧核糖核酸(DNA)和核糖核酸(RNA)进行测序，确保先进性和人类遗传信息安全性；</w:t>
      </w:r>
    </w:p>
    <w:p w14:paraId="72D23B76">
      <w:pPr>
        <w:pStyle w:val="2"/>
        <w:ind w:firstLine="420" w:firstLineChars="200"/>
        <w:rPr>
          <w:rFonts w:hint="eastAsia"/>
        </w:rPr>
      </w:pPr>
      <w:r>
        <w:rPr>
          <w:rFonts w:hint="eastAsia"/>
        </w:rPr>
        <w:t xml:space="preserve">3.投标人拥有建库工作站，具有防控污染的物理设计，最大限度减少手动操作时间，大幅提升实验室建库效率，保证结果的稳定性和准确性； </w:t>
      </w:r>
    </w:p>
    <w:p w14:paraId="4B671EFF">
      <w:pPr>
        <w:pStyle w:val="2"/>
        <w:ind w:firstLine="420" w:firstLineChars="200"/>
        <w:rPr>
          <w:rFonts w:hint="eastAsia"/>
        </w:rPr>
      </w:pPr>
      <w:r>
        <w:rPr>
          <w:rFonts w:hint="eastAsia"/>
        </w:rPr>
        <w:t>4.分析软件获得NMPA批准的医疗器械注册证，可分析的病原体包括：细菌、支原体、衣原体、立克次氏体、螺旋体、寄生虫</w:t>
      </w:r>
      <w:r>
        <w:rPr>
          <w:rFonts w:hint="eastAsia"/>
          <w:lang w:eastAsia="zh-CN"/>
        </w:rPr>
        <w:t>、</w:t>
      </w:r>
      <w:r>
        <w:rPr>
          <w:rFonts w:hint="eastAsia"/>
        </w:rPr>
        <w:t>真菌</w:t>
      </w:r>
      <w:r>
        <w:rPr>
          <w:rFonts w:hint="eastAsia"/>
          <w:lang w:eastAsia="zh-CN"/>
        </w:rPr>
        <w:t>、</w:t>
      </w:r>
      <w:bookmarkStart w:id="0" w:name="_GoBack"/>
      <w:bookmarkEnd w:id="0"/>
      <w:r>
        <w:rPr>
          <w:rFonts w:hint="eastAsia"/>
        </w:rPr>
        <w:t>病毒，并提供注册证复印件并加盖公章。</w:t>
      </w:r>
    </w:p>
    <w:p w14:paraId="4C7218EF">
      <w:pPr>
        <w:pStyle w:val="2"/>
        <w:ind w:firstLine="420" w:firstLineChars="200"/>
        <w:rPr>
          <w:rFonts w:hint="eastAsia"/>
        </w:rPr>
      </w:pPr>
      <w:r>
        <w:rPr>
          <w:rFonts w:hint="eastAsia"/>
        </w:rPr>
        <w:t>5.数据库要求</w:t>
      </w:r>
    </w:p>
    <w:p w14:paraId="50335EEB">
      <w:pPr>
        <w:pStyle w:val="2"/>
        <w:ind w:firstLine="42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病原宏基因组检测数据库可供分析病原微生物种类包括病毒、细菌、真菌、寄生虫、分枝杆菌、支原体/衣原体等；病原微生物耐药基因数据分析能力；可进行病原微生物毒力因子分析，并有相应报告呈现。要求提供彩页或说明书等证明材料，并加盖公章。</w:t>
      </w:r>
    </w:p>
    <w:p w14:paraId="2A338A28">
      <w:pPr>
        <w:pStyle w:val="2"/>
        <w:ind w:firstLine="42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病原靶向高通量测序检测技术数据库总可供分析病原微生物种类包含细菌、真菌、DNA和RNA病毒、寄生虫、分枝杆菌、支原体/衣原体等，病原微生物关键耐药/毒力基因数据分析能力；可进行点突变分析，并有相应报告呈现。要求提供彩页或说明书等证明材料，并加盖公章。</w:t>
      </w:r>
    </w:p>
    <w:p w14:paraId="5DCD2BE5">
      <w:pPr>
        <w:pStyle w:val="2"/>
        <w:ind w:firstLine="420" w:firstLineChars="200"/>
        <w:rPr>
          <w:rFonts w:hint="eastAsia"/>
        </w:rPr>
      </w:pPr>
      <w:r>
        <w:rPr>
          <w:rFonts w:hint="eastAsia"/>
        </w:rPr>
        <w:t>6.新发/罕见病原检测能力要求</w:t>
      </w:r>
    </w:p>
    <w:p w14:paraId="2319D7D2">
      <w:pPr>
        <w:pStyle w:val="2"/>
        <w:ind w:firstLine="420" w:firstLineChars="200"/>
        <w:rPr>
          <w:rFonts w:hint="eastAsia"/>
        </w:rPr>
      </w:pPr>
      <w:r>
        <w:rPr>
          <w:rFonts w:hint="eastAsia"/>
        </w:rPr>
        <w:t>数据库提供输入性、新发突发病原体发现、鉴定、突变与全基因组学进化分析，单批次样本分析少于10分钟（提供技术证明材料）。而且投标人具备在高通量测序技术平台上进行新发病原检测、溯源的能力，提供病原检测（高通量测序平台）试剂盒和软件。</w:t>
      </w:r>
    </w:p>
    <w:p w14:paraId="2E9146DC">
      <w:pPr>
        <w:pStyle w:val="2"/>
        <w:rPr>
          <w:rFonts w:hint="eastAsia"/>
          <w:b/>
          <w:bCs/>
          <w:sz w:val="24"/>
          <w:szCs w:val="24"/>
        </w:rPr>
      </w:pPr>
      <w:r>
        <w:rPr>
          <w:rFonts w:hint="eastAsia"/>
          <w:b/>
          <w:bCs/>
          <w:sz w:val="24"/>
          <w:szCs w:val="24"/>
        </w:rPr>
        <w:t>（五）售后服务方案</w:t>
      </w:r>
    </w:p>
    <w:p w14:paraId="1658264A">
      <w:pPr>
        <w:ind w:firstLine="420" w:firstLineChars="200"/>
        <w:rPr>
          <w:rFonts w:hint="eastAsia"/>
        </w:rPr>
      </w:pPr>
      <w:r>
        <w:rPr>
          <w:rFonts w:hint="eastAsia"/>
        </w:rPr>
        <w:t>1.投标实验室是否提供免费服务电话、网络查询、微信查询等多种渠道供采购人相关临床部门进行业务咨询、报告查询、账单查询统计功能。制定完善制度和流程保障上门服务，并派驻具有医学检验背景的专业人员提供上门售后服务。</w:t>
      </w:r>
    </w:p>
    <w:p w14:paraId="4EC1997B">
      <w:pPr>
        <w:ind w:firstLine="420" w:firstLineChars="200"/>
        <w:rPr>
          <w:rFonts w:hint="eastAsia"/>
        </w:rPr>
      </w:pPr>
      <w:r>
        <w:rPr>
          <w:rFonts w:hint="eastAsia"/>
        </w:rPr>
        <w:t>2.检验信息化服务能力方案方面，投标实验室是否具备检验信息系统，是否可以与采购人对接，以能满足客户要求。投标人负责与医院LIS和HIS系统对接,并负责LIS和HIS系统对接产生的所有费用，该费用包含在投标报价中。</w:t>
      </w:r>
    </w:p>
    <w:p w14:paraId="7429F127">
      <w:pPr>
        <w:pStyle w:val="2"/>
        <w:ind w:firstLine="420" w:firstLineChars="200"/>
      </w:pPr>
      <w:r>
        <w:rPr>
          <w:rFonts w:hint="eastAsia"/>
        </w:rPr>
        <w:t>3.投标人为医院与临床与其他医院相关专家提供良好的交流与学习机会（需提供相关证明文件）。</w:t>
      </w:r>
    </w:p>
    <w:p w14:paraId="6481AC54">
      <w:pPr>
        <w:ind w:left="420" w:leftChars="200" w:firstLine="0" w:firstLineChars="0"/>
        <w:rPr>
          <w:rFonts w:hint="eastAsia"/>
        </w:rPr>
      </w:pPr>
      <w:r>
        <w:rPr>
          <w:rFonts w:hint="eastAsia"/>
        </w:rPr>
        <w:t>4.投标人是否能提供报告解读及技术支持能力（需提供相关证明文件）。</w:t>
      </w:r>
    </w:p>
    <w:p w14:paraId="394D5DA4">
      <w:pPr>
        <w:ind w:firstLine="420" w:firstLineChars="200"/>
        <w:rPr>
          <w:rFonts w:hint="eastAsia"/>
        </w:rPr>
      </w:pPr>
      <w:r>
        <w:rPr>
          <w:rFonts w:hint="eastAsia"/>
        </w:rPr>
        <w:t>（1）检验报告含有检测变异信息、检测结果说明等内容，投标人是否能根据国内外相关指南建议进行报告解读；</w:t>
      </w:r>
    </w:p>
    <w:p w14:paraId="15D0310A">
      <w:pPr>
        <w:ind w:firstLine="420" w:firstLineChars="200"/>
        <w:rPr>
          <w:rFonts w:hint="eastAsia"/>
        </w:rPr>
      </w:pPr>
      <w:r>
        <w:rPr>
          <w:rFonts w:hint="eastAsia"/>
        </w:rPr>
        <w:t>（2）投标人是否与国内知名院校教学科室有整体合作，可针对疑难病例进行讲解与咨询。</w:t>
      </w:r>
    </w:p>
    <w:p w14:paraId="08154D79">
      <w:pPr>
        <w:rPr>
          <w:rFonts w:hint="eastAsia"/>
          <w:b/>
          <w:bCs/>
          <w:sz w:val="24"/>
          <w:szCs w:val="24"/>
        </w:rPr>
      </w:pPr>
      <w:r>
        <w:rPr>
          <w:rFonts w:hint="eastAsia"/>
          <w:b/>
          <w:bCs/>
          <w:sz w:val="24"/>
          <w:szCs w:val="24"/>
        </w:rPr>
        <w:t>（六）升级更新、备品备件、耗材等后续采购</w:t>
      </w:r>
    </w:p>
    <w:p w14:paraId="3449C871">
      <w:pPr>
        <w:ind w:firstLine="420" w:firstLineChars="200"/>
        <w:rPr>
          <w:rFonts w:hint="eastAsia" w:eastAsia="黑体"/>
        </w:rPr>
      </w:pPr>
      <w:r>
        <w:rPr>
          <w:rFonts w:hint="eastAsia"/>
        </w:rPr>
        <w:t>1.投标人是否保证其用到本项目的专利、技术是其合格持有，且享有处分权，若因实施本项目的专利技术产生的侵权纠纷，采购人有权向中标人追究责任，并向中标人索赔因此受到的全部损失，并有权单方终止本项目合同。</w:t>
      </w:r>
    </w:p>
    <w:p w14:paraId="6E0DA403">
      <w:pPr>
        <w:ind w:firstLine="420" w:firstLineChars="200"/>
      </w:pPr>
      <w:r>
        <w:rPr>
          <w:rFonts w:hint="eastAsia"/>
        </w:rPr>
        <w:t>2. 投标人是否对采购人送检的合格样本结果负责，对于按照中标人要求取材的合格样本，若因中标人原因导致检测结果存在质量问题，由中标人承担相应责任。</w:t>
      </w:r>
    </w:p>
    <w:p w14:paraId="1AFF7DC7">
      <w:pPr>
        <w:rPr>
          <w:rFonts w:hint="eastAsia"/>
          <w:b/>
          <w:bCs/>
          <w:sz w:val="24"/>
          <w:szCs w:val="24"/>
        </w:rPr>
      </w:pPr>
      <w:r>
        <w:rPr>
          <w:rFonts w:hint="eastAsia"/>
          <w:b/>
          <w:bCs/>
          <w:sz w:val="24"/>
          <w:szCs w:val="24"/>
        </w:rPr>
        <w:t>（七）与项目相关的应急方案</w:t>
      </w:r>
    </w:p>
    <w:p w14:paraId="5688EB8C">
      <w:pPr>
        <w:ind w:firstLine="420" w:firstLineChars="200"/>
        <w:rPr>
          <w:rFonts w:hint="eastAsia"/>
        </w:rPr>
      </w:pPr>
      <w:r>
        <w:rPr>
          <w:rFonts w:hint="eastAsia"/>
        </w:rPr>
        <w:t>投标人应提供送检服务应急措施、具备处理投入本项目核心设备故障、防止检验室或样本污染的能力。有完整的对突发事件、安全事故处理的方案。建立相应质量控制制度，制定相应的质量管理手册（或制度）等相关内容。</w:t>
      </w:r>
    </w:p>
    <w:p w14:paraId="0DB1EB2A">
      <w:pPr>
        <w:pStyle w:val="2"/>
        <w:rPr>
          <w:rFonts w:hint="eastAsia"/>
        </w:rPr>
      </w:pPr>
      <w:r>
        <w:rPr>
          <w:rFonts w:hint="eastAsia" w:ascii="Calibri" w:hAnsi="Calibri" w:eastAsia="宋体" w:cs="Times New Roman"/>
          <w:b/>
          <w:bCs/>
          <w:color w:val="auto"/>
          <w:kern w:val="2"/>
          <w:sz w:val="24"/>
          <w:szCs w:val="24"/>
          <w:lang w:val="en-US" w:eastAsia="zh-CN" w:bidi="ar-SA"/>
        </w:rPr>
        <w:t>（八）履约验收方案（请供应商提供相关方案）</w:t>
      </w:r>
    </w:p>
    <w:p w14:paraId="57C6AD40">
      <w:pPr>
        <w:rPr>
          <w:rFonts w:hint="eastAsia"/>
          <w:b/>
          <w:bCs/>
          <w:sz w:val="24"/>
          <w:szCs w:val="24"/>
        </w:rPr>
      </w:pPr>
      <w:r>
        <w:rPr>
          <w:rFonts w:hint="eastAsia"/>
          <w:b/>
          <w:bCs/>
          <w:sz w:val="24"/>
          <w:szCs w:val="24"/>
          <w:lang w:val="en-US" w:eastAsia="zh-CN"/>
        </w:rPr>
        <w:t>四、</w:t>
      </w:r>
      <w:r>
        <w:rPr>
          <w:rFonts w:hint="eastAsia"/>
          <w:b/>
          <w:bCs/>
          <w:sz w:val="24"/>
          <w:szCs w:val="24"/>
        </w:rPr>
        <w:t>供应商完成同类采购项目历史成交信息</w:t>
      </w:r>
    </w:p>
    <w:p w14:paraId="7BF154BA">
      <w:pPr>
        <w:ind w:firstLine="420" w:firstLineChars="200"/>
        <w:rPr>
          <w:rFonts w:hint="eastAsia"/>
        </w:rPr>
      </w:pPr>
      <w:r>
        <w:rPr>
          <w:rFonts w:hint="eastAsia"/>
        </w:rPr>
        <w:t>投标实验室是否可提供与本项目相关的近三年具有为不同地区或机构提供服务的项目业绩。需提供合同关键页（含签订合同双方的单位名称、合同项目名称与含签订合同双方的落款盖章、签订日期的关键页）复印件并加盖投标人公章作为证明材料。</w:t>
      </w:r>
    </w:p>
    <w:p w14:paraId="744C53A9">
      <w:pPr>
        <w:ind w:firstLine="420" w:firstLineChars="200"/>
        <w:rPr>
          <w:rFonts w:hint="eastAsia"/>
          <w:i/>
          <w:iCs/>
        </w:rPr>
      </w:pPr>
      <w:r>
        <w:rPr>
          <w:rFonts w:hint="eastAsia"/>
        </w:rPr>
        <w:t>附表</w:t>
      </w:r>
      <w:r>
        <w:rPr>
          <w:rFonts w:hint="eastAsia"/>
          <w:lang w:eastAsia="zh-CN"/>
        </w:rPr>
        <w:t>：</w:t>
      </w:r>
      <w:r>
        <w:rPr>
          <w:rFonts w:hint="eastAsia"/>
        </w:rPr>
        <w:t>同类采购项目历史成交信息</w:t>
      </w:r>
      <w:r>
        <w:rPr>
          <w:rFonts w:hint="eastAsia"/>
          <w:i/>
          <w:iCs/>
        </w:rPr>
        <w:t>（调查应当选择真实、有效的信息，信息来源应当有依据且符合当前市场实际情况，不得随意编造。）</w:t>
      </w:r>
    </w:p>
    <w:tbl>
      <w:tblPr>
        <w:tblStyle w:val="5"/>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64"/>
        <w:gridCol w:w="1062"/>
        <w:gridCol w:w="1004"/>
        <w:gridCol w:w="991"/>
        <w:gridCol w:w="877"/>
        <w:gridCol w:w="878"/>
        <w:gridCol w:w="1033"/>
        <w:gridCol w:w="851"/>
        <w:gridCol w:w="1065"/>
      </w:tblGrid>
      <w:tr w14:paraId="23C4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51" w:type="dxa"/>
            <w:vAlign w:val="center"/>
          </w:tcPr>
          <w:p w14:paraId="2F327068">
            <w:pPr>
              <w:jc w:val="both"/>
              <w:rPr>
                <w:rFonts w:hint="eastAsia"/>
                <w:sz w:val="18"/>
                <w:szCs w:val="18"/>
              </w:rPr>
            </w:pPr>
            <w:r>
              <w:rPr>
                <w:rFonts w:hint="eastAsia"/>
                <w:sz w:val="18"/>
                <w:szCs w:val="18"/>
              </w:rPr>
              <w:t>序号</w:t>
            </w:r>
          </w:p>
        </w:tc>
        <w:tc>
          <w:tcPr>
            <w:tcW w:w="764" w:type="dxa"/>
            <w:vAlign w:val="center"/>
          </w:tcPr>
          <w:p w14:paraId="3D0F22EB">
            <w:pPr>
              <w:jc w:val="both"/>
              <w:rPr>
                <w:rFonts w:hint="eastAsia"/>
                <w:sz w:val="18"/>
                <w:szCs w:val="18"/>
              </w:rPr>
            </w:pPr>
            <w:r>
              <w:rPr>
                <w:rFonts w:hint="eastAsia"/>
                <w:sz w:val="18"/>
                <w:szCs w:val="18"/>
              </w:rPr>
              <w:t>采购人</w:t>
            </w:r>
          </w:p>
        </w:tc>
        <w:tc>
          <w:tcPr>
            <w:tcW w:w="1062" w:type="dxa"/>
            <w:vAlign w:val="center"/>
          </w:tcPr>
          <w:p w14:paraId="08BB62BF">
            <w:pPr>
              <w:jc w:val="both"/>
              <w:rPr>
                <w:rFonts w:hint="eastAsia"/>
                <w:sz w:val="18"/>
                <w:szCs w:val="18"/>
              </w:rPr>
            </w:pPr>
            <w:r>
              <w:rPr>
                <w:rFonts w:hint="eastAsia"/>
                <w:sz w:val="18"/>
                <w:szCs w:val="18"/>
              </w:rPr>
              <w:t>项目名称</w:t>
            </w:r>
          </w:p>
        </w:tc>
        <w:tc>
          <w:tcPr>
            <w:tcW w:w="1004" w:type="dxa"/>
            <w:vAlign w:val="center"/>
          </w:tcPr>
          <w:p w14:paraId="17C7F6E8">
            <w:pPr>
              <w:jc w:val="both"/>
              <w:rPr>
                <w:rFonts w:hint="eastAsia"/>
                <w:sz w:val="18"/>
                <w:szCs w:val="18"/>
              </w:rPr>
            </w:pPr>
            <w:r>
              <w:rPr>
                <w:rFonts w:hint="eastAsia"/>
                <w:sz w:val="18"/>
                <w:szCs w:val="18"/>
              </w:rPr>
              <w:t>项目预算</w:t>
            </w:r>
          </w:p>
        </w:tc>
        <w:tc>
          <w:tcPr>
            <w:tcW w:w="991" w:type="dxa"/>
            <w:vAlign w:val="center"/>
          </w:tcPr>
          <w:p w14:paraId="6D57DAA0">
            <w:pPr>
              <w:jc w:val="both"/>
              <w:rPr>
                <w:rFonts w:hint="eastAsia"/>
                <w:sz w:val="18"/>
                <w:szCs w:val="18"/>
              </w:rPr>
            </w:pPr>
            <w:r>
              <w:rPr>
                <w:rFonts w:hint="eastAsia"/>
                <w:sz w:val="18"/>
                <w:szCs w:val="18"/>
              </w:rPr>
              <w:t>合同金额</w:t>
            </w:r>
          </w:p>
        </w:tc>
        <w:tc>
          <w:tcPr>
            <w:tcW w:w="877" w:type="dxa"/>
            <w:vAlign w:val="center"/>
          </w:tcPr>
          <w:p w14:paraId="5E6B1CBE">
            <w:pPr>
              <w:jc w:val="both"/>
              <w:rPr>
                <w:rFonts w:hint="eastAsia"/>
                <w:sz w:val="18"/>
                <w:szCs w:val="18"/>
              </w:rPr>
            </w:pPr>
            <w:r>
              <w:rPr>
                <w:rFonts w:hint="eastAsia"/>
                <w:sz w:val="18"/>
                <w:szCs w:val="18"/>
              </w:rPr>
              <w:t>中标人</w:t>
            </w:r>
          </w:p>
        </w:tc>
        <w:tc>
          <w:tcPr>
            <w:tcW w:w="878" w:type="dxa"/>
            <w:vAlign w:val="center"/>
          </w:tcPr>
          <w:p w14:paraId="4E3A7F29">
            <w:pPr>
              <w:jc w:val="both"/>
              <w:rPr>
                <w:rFonts w:hint="eastAsia"/>
                <w:sz w:val="18"/>
                <w:szCs w:val="18"/>
              </w:rPr>
            </w:pPr>
            <w:r>
              <w:rPr>
                <w:rFonts w:hint="eastAsia"/>
                <w:sz w:val="18"/>
                <w:szCs w:val="18"/>
              </w:rPr>
              <w:t>中标价</w:t>
            </w:r>
          </w:p>
        </w:tc>
        <w:tc>
          <w:tcPr>
            <w:tcW w:w="1033" w:type="dxa"/>
            <w:vAlign w:val="center"/>
          </w:tcPr>
          <w:p w14:paraId="352D3571">
            <w:pPr>
              <w:jc w:val="both"/>
              <w:rPr>
                <w:rFonts w:hint="eastAsia"/>
                <w:sz w:val="18"/>
                <w:szCs w:val="18"/>
              </w:rPr>
            </w:pPr>
            <w:r>
              <w:rPr>
                <w:rFonts w:hint="eastAsia"/>
                <w:sz w:val="18"/>
                <w:szCs w:val="18"/>
              </w:rPr>
              <w:t>中标时间</w:t>
            </w:r>
          </w:p>
        </w:tc>
        <w:tc>
          <w:tcPr>
            <w:tcW w:w="851" w:type="dxa"/>
            <w:vAlign w:val="center"/>
          </w:tcPr>
          <w:p w14:paraId="2267F8F5">
            <w:pPr>
              <w:jc w:val="both"/>
              <w:rPr>
                <w:rFonts w:hint="eastAsia"/>
                <w:sz w:val="18"/>
                <w:szCs w:val="18"/>
              </w:rPr>
            </w:pPr>
            <w:r>
              <w:rPr>
                <w:rFonts w:hint="eastAsia"/>
                <w:sz w:val="18"/>
                <w:szCs w:val="18"/>
              </w:rPr>
              <w:t>证明人</w:t>
            </w:r>
          </w:p>
        </w:tc>
        <w:tc>
          <w:tcPr>
            <w:tcW w:w="1065" w:type="dxa"/>
            <w:vAlign w:val="center"/>
          </w:tcPr>
          <w:p w14:paraId="09C69EBB">
            <w:pPr>
              <w:jc w:val="both"/>
              <w:rPr>
                <w:rFonts w:hint="eastAsia"/>
                <w:sz w:val="18"/>
                <w:szCs w:val="18"/>
              </w:rPr>
            </w:pPr>
            <w:r>
              <w:rPr>
                <w:rFonts w:hint="eastAsia"/>
                <w:sz w:val="18"/>
                <w:szCs w:val="18"/>
              </w:rPr>
              <w:t>联系电话</w:t>
            </w:r>
          </w:p>
        </w:tc>
      </w:tr>
      <w:tr w14:paraId="008C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1" w:type="dxa"/>
            <w:vAlign w:val="center"/>
          </w:tcPr>
          <w:p w14:paraId="377CBF3B">
            <w:pPr>
              <w:jc w:val="both"/>
              <w:rPr>
                <w:rFonts w:hint="eastAsia"/>
              </w:rPr>
            </w:pPr>
          </w:p>
        </w:tc>
        <w:tc>
          <w:tcPr>
            <w:tcW w:w="764" w:type="dxa"/>
            <w:vAlign w:val="center"/>
          </w:tcPr>
          <w:p w14:paraId="47C0FC72">
            <w:pPr>
              <w:jc w:val="both"/>
              <w:rPr>
                <w:rFonts w:hint="eastAsia"/>
              </w:rPr>
            </w:pPr>
          </w:p>
        </w:tc>
        <w:tc>
          <w:tcPr>
            <w:tcW w:w="1062" w:type="dxa"/>
            <w:vAlign w:val="center"/>
          </w:tcPr>
          <w:p w14:paraId="51A17C3A">
            <w:pPr>
              <w:jc w:val="both"/>
              <w:rPr>
                <w:rFonts w:hint="eastAsia"/>
              </w:rPr>
            </w:pPr>
          </w:p>
        </w:tc>
        <w:tc>
          <w:tcPr>
            <w:tcW w:w="1004" w:type="dxa"/>
            <w:vAlign w:val="center"/>
          </w:tcPr>
          <w:p w14:paraId="3B279C9B">
            <w:pPr>
              <w:jc w:val="both"/>
              <w:rPr>
                <w:rFonts w:hint="eastAsia"/>
              </w:rPr>
            </w:pPr>
          </w:p>
        </w:tc>
        <w:tc>
          <w:tcPr>
            <w:tcW w:w="991" w:type="dxa"/>
            <w:vAlign w:val="center"/>
          </w:tcPr>
          <w:p w14:paraId="79AFB07C">
            <w:pPr>
              <w:jc w:val="both"/>
              <w:rPr>
                <w:rFonts w:hint="eastAsia"/>
              </w:rPr>
            </w:pPr>
          </w:p>
        </w:tc>
        <w:tc>
          <w:tcPr>
            <w:tcW w:w="877" w:type="dxa"/>
            <w:vAlign w:val="center"/>
          </w:tcPr>
          <w:p w14:paraId="64127E81">
            <w:pPr>
              <w:jc w:val="both"/>
              <w:rPr>
                <w:rFonts w:hint="eastAsia"/>
              </w:rPr>
            </w:pPr>
          </w:p>
        </w:tc>
        <w:tc>
          <w:tcPr>
            <w:tcW w:w="878" w:type="dxa"/>
            <w:vAlign w:val="center"/>
          </w:tcPr>
          <w:p w14:paraId="348C05A3">
            <w:pPr>
              <w:jc w:val="both"/>
              <w:rPr>
                <w:rFonts w:hint="eastAsia"/>
              </w:rPr>
            </w:pPr>
          </w:p>
        </w:tc>
        <w:tc>
          <w:tcPr>
            <w:tcW w:w="1033" w:type="dxa"/>
            <w:vAlign w:val="center"/>
          </w:tcPr>
          <w:p w14:paraId="7AC111D5">
            <w:pPr>
              <w:jc w:val="both"/>
              <w:rPr>
                <w:rFonts w:hint="eastAsia"/>
              </w:rPr>
            </w:pPr>
          </w:p>
        </w:tc>
        <w:tc>
          <w:tcPr>
            <w:tcW w:w="851" w:type="dxa"/>
            <w:vAlign w:val="center"/>
          </w:tcPr>
          <w:p w14:paraId="5BD60D7E">
            <w:pPr>
              <w:jc w:val="both"/>
              <w:rPr>
                <w:rFonts w:hint="eastAsia"/>
              </w:rPr>
            </w:pPr>
          </w:p>
        </w:tc>
        <w:tc>
          <w:tcPr>
            <w:tcW w:w="1065" w:type="dxa"/>
            <w:vAlign w:val="center"/>
          </w:tcPr>
          <w:p w14:paraId="3DD07104">
            <w:pPr>
              <w:jc w:val="both"/>
              <w:rPr>
                <w:rFonts w:hint="eastAsia"/>
              </w:rPr>
            </w:pPr>
          </w:p>
        </w:tc>
      </w:tr>
      <w:tr w14:paraId="02F6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1" w:type="dxa"/>
            <w:vAlign w:val="center"/>
          </w:tcPr>
          <w:p w14:paraId="29872A65">
            <w:pPr>
              <w:jc w:val="both"/>
              <w:rPr>
                <w:rFonts w:hint="eastAsia"/>
              </w:rPr>
            </w:pPr>
          </w:p>
        </w:tc>
        <w:tc>
          <w:tcPr>
            <w:tcW w:w="764" w:type="dxa"/>
            <w:vAlign w:val="center"/>
          </w:tcPr>
          <w:p w14:paraId="417220EF">
            <w:pPr>
              <w:jc w:val="both"/>
              <w:rPr>
                <w:rFonts w:hint="eastAsia"/>
              </w:rPr>
            </w:pPr>
          </w:p>
        </w:tc>
        <w:tc>
          <w:tcPr>
            <w:tcW w:w="1062" w:type="dxa"/>
            <w:vAlign w:val="center"/>
          </w:tcPr>
          <w:p w14:paraId="526657AA">
            <w:pPr>
              <w:jc w:val="both"/>
              <w:rPr>
                <w:rFonts w:hint="eastAsia"/>
              </w:rPr>
            </w:pPr>
          </w:p>
        </w:tc>
        <w:tc>
          <w:tcPr>
            <w:tcW w:w="1004" w:type="dxa"/>
            <w:vAlign w:val="center"/>
          </w:tcPr>
          <w:p w14:paraId="3B3DE708">
            <w:pPr>
              <w:jc w:val="both"/>
              <w:rPr>
                <w:rFonts w:hint="eastAsia"/>
              </w:rPr>
            </w:pPr>
          </w:p>
        </w:tc>
        <w:tc>
          <w:tcPr>
            <w:tcW w:w="991" w:type="dxa"/>
            <w:vAlign w:val="center"/>
          </w:tcPr>
          <w:p w14:paraId="50D4E251">
            <w:pPr>
              <w:jc w:val="both"/>
              <w:rPr>
                <w:rFonts w:hint="eastAsia"/>
              </w:rPr>
            </w:pPr>
          </w:p>
        </w:tc>
        <w:tc>
          <w:tcPr>
            <w:tcW w:w="877" w:type="dxa"/>
            <w:vAlign w:val="center"/>
          </w:tcPr>
          <w:p w14:paraId="11FB110D">
            <w:pPr>
              <w:jc w:val="both"/>
              <w:rPr>
                <w:rFonts w:hint="eastAsia"/>
              </w:rPr>
            </w:pPr>
          </w:p>
        </w:tc>
        <w:tc>
          <w:tcPr>
            <w:tcW w:w="878" w:type="dxa"/>
            <w:vAlign w:val="center"/>
          </w:tcPr>
          <w:p w14:paraId="67C9C81B">
            <w:pPr>
              <w:jc w:val="both"/>
              <w:rPr>
                <w:rFonts w:hint="eastAsia"/>
              </w:rPr>
            </w:pPr>
          </w:p>
        </w:tc>
        <w:tc>
          <w:tcPr>
            <w:tcW w:w="1033" w:type="dxa"/>
            <w:vAlign w:val="center"/>
          </w:tcPr>
          <w:p w14:paraId="430EB057">
            <w:pPr>
              <w:jc w:val="both"/>
              <w:rPr>
                <w:rFonts w:hint="eastAsia"/>
              </w:rPr>
            </w:pPr>
          </w:p>
        </w:tc>
        <w:tc>
          <w:tcPr>
            <w:tcW w:w="851" w:type="dxa"/>
            <w:vAlign w:val="center"/>
          </w:tcPr>
          <w:p w14:paraId="258FCF1A">
            <w:pPr>
              <w:jc w:val="both"/>
              <w:rPr>
                <w:rFonts w:hint="eastAsia"/>
              </w:rPr>
            </w:pPr>
          </w:p>
        </w:tc>
        <w:tc>
          <w:tcPr>
            <w:tcW w:w="1065" w:type="dxa"/>
            <w:vAlign w:val="center"/>
          </w:tcPr>
          <w:p w14:paraId="1908D597">
            <w:pPr>
              <w:jc w:val="both"/>
              <w:rPr>
                <w:rFonts w:hint="eastAsia"/>
              </w:rPr>
            </w:pPr>
          </w:p>
        </w:tc>
      </w:tr>
      <w:tr w14:paraId="67C3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1" w:type="dxa"/>
            <w:vAlign w:val="center"/>
          </w:tcPr>
          <w:p w14:paraId="4ED94111">
            <w:pPr>
              <w:jc w:val="both"/>
              <w:rPr>
                <w:rFonts w:hint="eastAsia"/>
              </w:rPr>
            </w:pPr>
          </w:p>
        </w:tc>
        <w:tc>
          <w:tcPr>
            <w:tcW w:w="764" w:type="dxa"/>
            <w:vAlign w:val="center"/>
          </w:tcPr>
          <w:p w14:paraId="7FA2015D">
            <w:pPr>
              <w:jc w:val="both"/>
              <w:rPr>
                <w:rFonts w:hint="eastAsia"/>
              </w:rPr>
            </w:pPr>
          </w:p>
        </w:tc>
        <w:tc>
          <w:tcPr>
            <w:tcW w:w="1062" w:type="dxa"/>
            <w:vAlign w:val="center"/>
          </w:tcPr>
          <w:p w14:paraId="051B5BFA">
            <w:pPr>
              <w:jc w:val="both"/>
              <w:rPr>
                <w:rFonts w:hint="eastAsia"/>
              </w:rPr>
            </w:pPr>
          </w:p>
        </w:tc>
        <w:tc>
          <w:tcPr>
            <w:tcW w:w="1004" w:type="dxa"/>
            <w:vAlign w:val="center"/>
          </w:tcPr>
          <w:p w14:paraId="05A43DCC">
            <w:pPr>
              <w:jc w:val="both"/>
              <w:rPr>
                <w:rFonts w:hint="eastAsia"/>
              </w:rPr>
            </w:pPr>
          </w:p>
        </w:tc>
        <w:tc>
          <w:tcPr>
            <w:tcW w:w="991" w:type="dxa"/>
            <w:vAlign w:val="center"/>
          </w:tcPr>
          <w:p w14:paraId="08E36286">
            <w:pPr>
              <w:jc w:val="both"/>
              <w:rPr>
                <w:rFonts w:hint="eastAsia"/>
              </w:rPr>
            </w:pPr>
          </w:p>
        </w:tc>
        <w:tc>
          <w:tcPr>
            <w:tcW w:w="877" w:type="dxa"/>
            <w:vAlign w:val="center"/>
          </w:tcPr>
          <w:p w14:paraId="164776FD">
            <w:pPr>
              <w:jc w:val="both"/>
              <w:rPr>
                <w:rFonts w:hint="eastAsia"/>
              </w:rPr>
            </w:pPr>
          </w:p>
        </w:tc>
        <w:tc>
          <w:tcPr>
            <w:tcW w:w="878" w:type="dxa"/>
            <w:vAlign w:val="center"/>
          </w:tcPr>
          <w:p w14:paraId="4EAC8640">
            <w:pPr>
              <w:jc w:val="both"/>
              <w:rPr>
                <w:rFonts w:hint="eastAsia"/>
              </w:rPr>
            </w:pPr>
          </w:p>
        </w:tc>
        <w:tc>
          <w:tcPr>
            <w:tcW w:w="1033" w:type="dxa"/>
            <w:vAlign w:val="center"/>
          </w:tcPr>
          <w:p w14:paraId="4BA723E2">
            <w:pPr>
              <w:jc w:val="both"/>
              <w:rPr>
                <w:rFonts w:hint="eastAsia"/>
              </w:rPr>
            </w:pPr>
          </w:p>
        </w:tc>
        <w:tc>
          <w:tcPr>
            <w:tcW w:w="851" w:type="dxa"/>
            <w:vAlign w:val="center"/>
          </w:tcPr>
          <w:p w14:paraId="66187EC0">
            <w:pPr>
              <w:jc w:val="both"/>
              <w:rPr>
                <w:rFonts w:hint="eastAsia"/>
              </w:rPr>
            </w:pPr>
          </w:p>
        </w:tc>
        <w:tc>
          <w:tcPr>
            <w:tcW w:w="1065" w:type="dxa"/>
            <w:vAlign w:val="center"/>
          </w:tcPr>
          <w:p w14:paraId="54C369EF">
            <w:pPr>
              <w:jc w:val="both"/>
              <w:rPr>
                <w:rFonts w:hint="eastAsia"/>
              </w:rPr>
            </w:pPr>
          </w:p>
        </w:tc>
      </w:tr>
    </w:tbl>
    <w:p w14:paraId="341B5B50">
      <w:pPr>
        <w:rPr>
          <w:rFonts w:hint="eastAsia"/>
          <w:b/>
          <w:bCs/>
          <w:sz w:val="24"/>
          <w:szCs w:val="24"/>
        </w:rPr>
      </w:pPr>
      <w:r>
        <w:rPr>
          <w:rFonts w:hint="eastAsia"/>
          <w:b/>
          <w:bCs/>
          <w:sz w:val="24"/>
          <w:szCs w:val="24"/>
          <w:lang w:val="en-US" w:eastAsia="zh-CN"/>
        </w:rPr>
        <w:t>五、</w:t>
      </w:r>
      <w:r>
        <w:rPr>
          <w:rFonts w:hint="eastAsia"/>
          <w:b/>
          <w:bCs/>
          <w:sz w:val="24"/>
          <w:szCs w:val="24"/>
        </w:rPr>
        <w:t>报价要求</w:t>
      </w:r>
    </w:p>
    <w:p w14:paraId="188ACB61">
      <w:pPr>
        <w:ind w:firstLine="420" w:firstLineChars="200"/>
        <w:rPr>
          <w:rFonts w:hint="eastAsia"/>
        </w:rPr>
      </w:pPr>
      <w:r>
        <w:rPr>
          <w:rFonts w:hint="eastAsia"/>
        </w:rPr>
        <w:t>1.根据本中心以往数据预估本项目采购量约500万/年，合同期三年，本项目服务的总数量为预估，以合同期内实际采购量为准，采购人不保证最低采购数量。</w:t>
      </w:r>
    </w:p>
    <w:p w14:paraId="1FA90E60">
      <w:pPr>
        <w:ind w:firstLine="420" w:firstLineChars="200"/>
        <w:rPr>
          <w:rFonts w:hint="eastAsia"/>
        </w:rPr>
      </w:pPr>
      <w:r>
        <w:rPr>
          <w:rFonts w:hint="eastAsia"/>
        </w:rPr>
        <w:t>2.投标报价包括但不限于：完成本次招标所有服务内容的费用，包括人工费、检测费、材料费、设备使用费、系统接口费、项目宣传费、物流运输费、采样耗材费、各种税务费及合同实施过程中不可预见费用等全部费用。</w:t>
      </w:r>
    </w:p>
    <w:p w14:paraId="33992CF4">
      <w:pPr>
        <w:ind w:firstLine="420" w:firstLineChars="200"/>
        <w:rPr>
          <w:rFonts w:hint="eastAsia"/>
        </w:rPr>
      </w:pPr>
      <w:r>
        <w:rPr>
          <w:rFonts w:hint="eastAsia"/>
        </w:rPr>
        <w:t>3.请投标人就</w:t>
      </w:r>
      <w:r>
        <w:rPr>
          <w:rFonts w:hint="eastAsia"/>
          <w:lang w:val="en-US" w:eastAsia="zh-CN"/>
        </w:rPr>
        <w:t>包2</w:t>
      </w:r>
      <w:r>
        <w:rPr>
          <w:rFonts w:hint="eastAsia"/>
        </w:rPr>
        <w:t>提供的检测项目列表进行报价</w:t>
      </w:r>
      <w:r>
        <w:rPr>
          <w:rFonts w:hint="default" w:ascii="Times New Roman" w:hAnsi="Times New Roman" w:eastAsia="宋体" w:cs="Times New Roman"/>
          <w:sz w:val="21"/>
          <w:szCs w:val="21"/>
        </w:rPr>
        <w:t>（</w:t>
      </w:r>
      <w:r>
        <w:rPr>
          <w:rFonts w:hint="eastAsia" w:ascii="Times New Roman" w:hAnsi="Times New Roman" w:cs="Times New Roman"/>
          <w:sz w:val="21"/>
          <w:szCs w:val="21"/>
          <w:lang w:eastAsia="zh-CN"/>
        </w:rPr>
        <w:t>投标折扣率报价不能为负数或零</w:t>
      </w:r>
      <w:r>
        <w:rPr>
          <w:rFonts w:hint="default" w:ascii="Times New Roman" w:hAnsi="Times New Roman" w:eastAsia="宋体" w:cs="Times New Roman"/>
          <w:sz w:val="21"/>
          <w:szCs w:val="21"/>
        </w:rPr>
        <w:t>）</w:t>
      </w:r>
      <w:r>
        <w:rPr>
          <w:rFonts w:hint="eastAsia"/>
        </w:rPr>
        <w:t>。</w:t>
      </w:r>
    </w:p>
    <w:sectPr>
      <w:pgSz w:w="11906" w:h="16838"/>
      <w:pgMar w:top="1440" w:right="1797" w:bottom="1440" w:left="179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F43FF"/>
    <w:multiLevelType w:val="multilevel"/>
    <w:tmpl w:val="2B8F43FF"/>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95A6527"/>
    <w:rsid w:val="000C64EA"/>
    <w:rsid w:val="000F12E6"/>
    <w:rsid w:val="00305CE7"/>
    <w:rsid w:val="004A3D09"/>
    <w:rsid w:val="0068702E"/>
    <w:rsid w:val="007213F4"/>
    <w:rsid w:val="007C0F2D"/>
    <w:rsid w:val="00802C4F"/>
    <w:rsid w:val="00AF23BD"/>
    <w:rsid w:val="00D605EE"/>
    <w:rsid w:val="00D815E8"/>
    <w:rsid w:val="00EC5822"/>
    <w:rsid w:val="00FC4C0A"/>
    <w:rsid w:val="00FC6D81"/>
    <w:rsid w:val="00FF39D0"/>
    <w:rsid w:val="012D66CB"/>
    <w:rsid w:val="01523018"/>
    <w:rsid w:val="030D0562"/>
    <w:rsid w:val="04B2398B"/>
    <w:rsid w:val="050F542E"/>
    <w:rsid w:val="061834A6"/>
    <w:rsid w:val="06947AE4"/>
    <w:rsid w:val="06AC0092"/>
    <w:rsid w:val="07965CAB"/>
    <w:rsid w:val="07F817E1"/>
    <w:rsid w:val="089F35DF"/>
    <w:rsid w:val="08F324B2"/>
    <w:rsid w:val="095A6527"/>
    <w:rsid w:val="096B722E"/>
    <w:rsid w:val="0994433E"/>
    <w:rsid w:val="0B6251C3"/>
    <w:rsid w:val="0C1B3109"/>
    <w:rsid w:val="0D3A63F7"/>
    <w:rsid w:val="10BE7687"/>
    <w:rsid w:val="10FB5D6E"/>
    <w:rsid w:val="11A63802"/>
    <w:rsid w:val="12993CD3"/>
    <w:rsid w:val="12D9220E"/>
    <w:rsid w:val="13BC7845"/>
    <w:rsid w:val="14776934"/>
    <w:rsid w:val="16467BBB"/>
    <w:rsid w:val="16D67FAF"/>
    <w:rsid w:val="178A1F00"/>
    <w:rsid w:val="19F93084"/>
    <w:rsid w:val="1A1E58E2"/>
    <w:rsid w:val="1BC577D4"/>
    <w:rsid w:val="1C2932F0"/>
    <w:rsid w:val="1C3A658A"/>
    <w:rsid w:val="1D2C098E"/>
    <w:rsid w:val="1D8568B1"/>
    <w:rsid w:val="20A577C3"/>
    <w:rsid w:val="21472CE9"/>
    <w:rsid w:val="215A276C"/>
    <w:rsid w:val="21B76D44"/>
    <w:rsid w:val="21D56AE2"/>
    <w:rsid w:val="21E50F2A"/>
    <w:rsid w:val="22F34B5D"/>
    <w:rsid w:val="23812740"/>
    <w:rsid w:val="265F25D3"/>
    <w:rsid w:val="27606603"/>
    <w:rsid w:val="29656152"/>
    <w:rsid w:val="2B856638"/>
    <w:rsid w:val="2B980F11"/>
    <w:rsid w:val="2CF11644"/>
    <w:rsid w:val="2CFB18D4"/>
    <w:rsid w:val="2D6A01DB"/>
    <w:rsid w:val="2E165C6D"/>
    <w:rsid w:val="30455A79"/>
    <w:rsid w:val="317F3B29"/>
    <w:rsid w:val="31CA1248"/>
    <w:rsid w:val="32AC3479"/>
    <w:rsid w:val="33DC0380"/>
    <w:rsid w:val="34F12F90"/>
    <w:rsid w:val="35487054"/>
    <w:rsid w:val="369A1D52"/>
    <w:rsid w:val="36CA5847"/>
    <w:rsid w:val="384004B6"/>
    <w:rsid w:val="393F42CA"/>
    <w:rsid w:val="3A4C0835"/>
    <w:rsid w:val="3A837FA0"/>
    <w:rsid w:val="3A960861"/>
    <w:rsid w:val="3AB17449"/>
    <w:rsid w:val="3B553953"/>
    <w:rsid w:val="3C6E4D25"/>
    <w:rsid w:val="3C835B8C"/>
    <w:rsid w:val="3CE81A7C"/>
    <w:rsid w:val="3CF73AAE"/>
    <w:rsid w:val="3D807088"/>
    <w:rsid w:val="3DAC1658"/>
    <w:rsid w:val="3DF24001"/>
    <w:rsid w:val="3EF215A4"/>
    <w:rsid w:val="430766D3"/>
    <w:rsid w:val="43EC2053"/>
    <w:rsid w:val="44290050"/>
    <w:rsid w:val="44EA73A3"/>
    <w:rsid w:val="480C2163"/>
    <w:rsid w:val="49B605D8"/>
    <w:rsid w:val="4BE331DB"/>
    <w:rsid w:val="4E4A5793"/>
    <w:rsid w:val="4F9071D6"/>
    <w:rsid w:val="508C2093"/>
    <w:rsid w:val="5264494A"/>
    <w:rsid w:val="527D34D3"/>
    <w:rsid w:val="52D1737D"/>
    <w:rsid w:val="52FE0E82"/>
    <w:rsid w:val="539B439B"/>
    <w:rsid w:val="53E92E99"/>
    <w:rsid w:val="555F272B"/>
    <w:rsid w:val="558E3572"/>
    <w:rsid w:val="55D9616A"/>
    <w:rsid w:val="56226FF5"/>
    <w:rsid w:val="56B3737D"/>
    <w:rsid w:val="56D06A51"/>
    <w:rsid w:val="599F0B96"/>
    <w:rsid w:val="59A91506"/>
    <w:rsid w:val="5ABA15AB"/>
    <w:rsid w:val="5ABA3CA0"/>
    <w:rsid w:val="5B1433B1"/>
    <w:rsid w:val="5B793760"/>
    <w:rsid w:val="5C1631F6"/>
    <w:rsid w:val="5CE943C9"/>
    <w:rsid w:val="5D195901"/>
    <w:rsid w:val="5E021194"/>
    <w:rsid w:val="5E84084D"/>
    <w:rsid w:val="5E8F7FC3"/>
    <w:rsid w:val="5F7654A3"/>
    <w:rsid w:val="5FE13A7D"/>
    <w:rsid w:val="5FE35B37"/>
    <w:rsid w:val="60DD4059"/>
    <w:rsid w:val="652131A2"/>
    <w:rsid w:val="657F25CC"/>
    <w:rsid w:val="65CB4F21"/>
    <w:rsid w:val="66CF3A7D"/>
    <w:rsid w:val="66D4057D"/>
    <w:rsid w:val="66E153D1"/>
    <w:rsid w:val="67D85784"/>
    <w:rsid w:val="69674FF3"/>
    <w:rsid w:val="696C43B8"/>
    <w:rsid w:val="69DE55DD"/>
    <w:rsid w:val="6AE80377"/>
    <w:rsid w:val="6B025340"/>
    <w:rsid w:val="6CE11E08"/>
    <w:rsid w:val="6D4D6B50"/>
    <w:rsid w:val="6E4F6056"/>
    <w:rsid w:val="6FB6638D"/>
    <w:rsid w:val="70134132"/>
    <w:rsid w:val="7037271B"/>
    <w:rsid w:val="70A22DB5"/>
    <w:rsid w:val="70CC398E"/>
    <w:rsid w:val="710475CC"/>
    <w:rsid w:val="71AB7A47"/>
    <w:rsid w:val="71AD5A0B"/>
    <w:rsid w:val="72671BC0"/>
    <w:rsid w:val="726D6CD9"/>
    <w:rsid w:val="72C559C2"/>
    <w:rsid w:val="7447478D"/>
    <w:rsid w:val="7451463C"/>
    <w:rsid w:val="74624D35"/>
    <w:rsid w:val="754A06F9"/>
    <w:rsid w:val="762C4B04"/>
    <w:rsid w:val="768C7E47"/>
    <w:rsid w:val="76FE7909"/>
    <w:rsid w:val="785B21C7"/>
    <w:rsid w:val="787741D1"/>
    <w:rsid w:val="78941235"/>
    <w:rsid w:val="78A7438D"/>
    <w:rsid w:val="79F20909"/>
    <w:rsid w:val="7B022DCE"/>
    <w:rsid w:val="7C6D4277"/>
    <w:rsid w:val="7D0C3A90"/>
    <w:rsid w:val="7DE20C95"/>
    <w:rsid w:val="7DF64C92"/>
    <w:rsid w:val="7EC00FD6"/>
    <w:rsid w:val="7FC05B1E"/>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宋体" w:hAnsi="宋体" w:eastAsia="宋体" w:cs="宋体"/>
      <w:kern w:val="2"/>
      <w:sz w:val="21"/>
      <w:szCs w:val="21"/>
      <w:lang w:val="en-US" w:eastAsia="zh-CN" w:bidi="ar-SA"/>
    </w:rPr>
  </w:style>
  <w:style w:type="paragraph" w:styleId="2">
    <w:name w:val="heading 3"/>
    <w:basedOn w:val="1"/>
    <w:next w:val="1"/>
    <w:autoRedefine/>
    <w:qFormat/>
    <w:uiPriority w:val="0"/>
    <w:pPr>
      <w:keepNext/>
      <w:outlineLvl w:val="2"/>
    </w:p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annotation text"/>
    <w:basedOn w:val="1"/>
    <w:autoRedefine/>
    <w:qFormat/>
    <w:uiPriority w:val="0"/>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autoRedefine/>
    <w:qFormat/>
    <w:uiPriority w:val="0"/>
    <w:rPr>
      <w:sz w:val="21"/>
      <w:szCs w:val="21"/>
    </w:rPr>
  </w:style>
  <w:style w:type="paragraph" w:styleId="8">
    <w:name w:val="List Paragraph"/>
    <w:basedOn w:val="1"/>
    <w:autoRedefine/>
    <w:unhideWhenUsed/>
    <w:qFormat/>
    <w:uiPriority w:val="99"/>
    <w:pPr>
      <w:ind w:firstLine="420" w:firstLineChars="200"/>
    </w:pPr>
  </w:style>
  <w:style w:type="paragraph" w:customStyle="1" w:styleId="9">
    <w:name w:val="Table Paragraph"/>
    <w:basedOn w:val="1"/>
    <w:autoRedefine/>
    <w:qFormat/>
    <w:uiPriority w:val="0"/>
    <w:pPr>
      <w:widowControl/>
      <w:spacing w:line="240" w:lineRule="auto"/>
    </w:pPr>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3667</Words>
  <Characters>3855</Characters>
  <Lines>30</Lines>
  <Paragraphs>8</Paragraphs>
  <TotalTime>5</TotalTime>
  <ScaleCrop>false</ScaleCrop>
  <LinksUpToDate>false</LinksUpToDate>
  <CharactersWithSpaces>3889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2022-02-18T01:14:00Z</dcterms:created>
  <dc:creator>TIAMO哟！</dc:creator>
  <cp:lastModifiedBy>A</cp:lastModifiedBy>
  <cp:lastPrinted>2024-01-11T11:14:00Z</cp:lastPrinted>
  <dcterms:modified xsi:type="dcterms:W3CDTF">2025-02-17T01:50:26Z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1F1497F7A8E943ADBCB1831AF5E80E79_13</vt:lpwstr>
  </property>
  <property fmtid="{D5CDD505-2E9C-101B-9397-08002B2CF9AE}" pid="4" name="KSOTemplateDocerSaveRecord">
    <vt:lpwstr>eyJoZGlkIjoiN2YzNjBkOTgyNWQ1YTMxYzM3MzMwNWFiODNmOWIzYWMiLCJ1c2VySWQiOiIyNzUzMjM1NzMifQ==</vt:lpwstr>
  </property>
</Properties>
</file>