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F233A4">
      <w:pPr>
        <w:spacing w:line="360" w:lineRule="auto"/>
        <w:jc w:val="center"/>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包1《遗传病分子检测整体解决方案》调研表</w:t>
      </w:r>
    </w:p>
    <w:p w14:paraId="73B4123C">
      <w:pPr>
        <w:pStyle w:val="8"/>
        <w:numPr>
          <w:ilvl w:val="0"/>
          <w:numId w:val="0"/>
        </w:numPr>
        <w:spacing w:line="360" w:lineRule="auto"/>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一、</w:t>
      </w:r>
      <w:r>
        <w:rPr>
          <w:rFonts w:hint="default" w:ascii="Times New Roman" w:hAnsi="Times New Roman" w:eastAsia="宋体" w:cs="Times New Roman"/>
          <w:b/>
          <w:bCs/>
          <w:sz w:val="24"/>
          <w:szCs w:val="24"/>
        </w:rPr>
        <w:t>供应商情况：</w:t>
      </w:r>
    </w:p>
    <w:p w14:paraId="16DC8376">
      <w:pPr>
        <w:pStyle w:val="8"/>
        <w:spacing w:line="360" w:lineRule="auto"/>
        <w:ind w:left="0" w:leftChars="0" w:firstLine="0" w:firstLineChars="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1.供应商基本资料</w:t>
      </w:r>
    </w:p>
    <w:tbl>
      <w:tblPr>
        <w:tblStyle w:val="4"/>
        <w:tblW w:w="5006" w:type="pct"/>
        <w:tblInd w:w="130" w:type="dxa"/>
        <w:tblLayout w:type="autofit"/>
        <w:tblCellMar>
          <w:top w:w="0" w:type="dxa"/>
          <w:left w:w="0" w:type="dxa"/>
          <w:bottom w:w="0" w:type="dxa"/>
          <w:right w:w="0" w:type="dxa"/>
        </w:tblCellMar>
      </w:tblPr>
      <w:tblGrid>
        <w:gridCol w:w="2763"/>
        <w:gridCol w:w="730"/>
        <w:gridCol w:w="1895"/>
        <w:gridCol w:w="942"/>
        <w:gridCol w:w="2002"/>
      </w:tblGrid>
      <w:tr w14:paraId="08177603">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6DE2F450">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单位名称</w:t>
            </w:r>
          </w:p>
        </w:tc>
        <w:tc>
          <w:tcPr>
            <w:tcW w:w="3341" w:type="pct"/>
            <w:gridSpan w:val="4"/>
            <w:tcBorders>
              <w:top w:val="single" w:color="000000" w:sz="4" w:space="0"/>
              <w:left w:val="nil"/>
              <w:bottom w:val="single" w:color="000000" w:sz="4" w:space="0"/>
              <w:right w:val="single" w:color="000000" w:sz="4" w:space="0"/>
            </w:tcBorders>
            <w:vAlign w:val="center"/>
          </w:tcPr>
          <w:p w14:paraId="36C39427">
            <w:pPr>
              <w:spacing w:line="360" w:lineRule="auto"/>
              <w:jc w:val="center"/>
              <w:rPr>
                <w:rFonts w:hint="default" w:ascii="Times New Roman" w:hAnsi="Times New Roman" w:eastAsia="宋体" w:cs="Times New Roman"/>
                <w:sz w:val="21"/>
                <w:szCs w:val="21"/>
              </w:rPr>
            </w:pPr>
          </w:p>
        </w:tc>
      </w:tr>
      <w:tr w14:paraId="4D19ACDB">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0716FC67">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注册资金</w:t>
            </w:r>
          </w:p>
        </w:tc>
        <w:tc>
          <w:tcPr>
            <w:tcW w:w="1575" w:type="pct"/>
            <w:gridSpan w:val="2"/>
            <w:tcBorders>
              <w:top w:val="single" w:color="000000" w:sz="4" w:space="0"/>
              <w:left w:val="nil"/>
              <w:bottom w:val="single" w:color="000000" w:sz="4" w:space="0"/>
              <w:right w:val="single" w:color="000000" w:sz="4" w:space="0"/>
            </w:tcBorders>
            <w:vAlign w:val="center"/>
          </w:tcPr>
          <w:p w14:paraId="17DDAE72">
            <w:pPr>
              <w:spacing w:line="360" w:lineRule="auto"/>
              <w:jc w:val="center"/>
              <w:rPr>
                <w:rFonts w:hint="default" w:ascii="Times New Roman" w:hAnsi="Times New Roman" w:eastAsia="宋体" w:cs="Times New Roman"/>
                <w:sz w:val="21"/>
                <w:szCs w:val="21"/>
              </w:rPr>
            </w:pPr>
          </w:p>
        </w:tc>
        <w:tc>
          <w:tcPr>
            <w:tcW w:w="565" w:type="pct"/>
            <w:tcBorders>
              <w:top w:val="single" w:color="000000" w:sz="4" w:space="0"/>
              <w:left w:val="nil"/>
              <w:bottom w:val="single" w:color="000000" w:sz="4" w:space="0"/>
              <w:right w:val="single" w:color="000000" w:sz="4" w:space="0"/>
            </w:tcBorders>
            <w:vAlign w:val="center"/>
          </w:tcPr>
          <w:p w14:paraId="2E7A19A4">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成立时间</w:t>
            </w:r>
          </w:p>
        </w:tc>
        <w:tc>
          <w:tcPr>
            <w:tcW w:w="1199" w:type="pct"/>
            <w:tcBorders>
              <w:top w:val="single" w:color="000000" w:sz="4" w:space="0"/>
              <w:left w:val="nil"/>
              <w:bottom w:val="single" w:color="000000" w:sz="4" w:space="0"/>
              <w:right w:val="single" w:color="000000" w:sz="4" w:space="0"/>
            </w:tcBorders>
            <w:vAlign w:val="center"/>
          </w:tcPr>
          <w:p w14:paraId="1D367455">
            <w:pPr>
              <w:spacing w:line="360" w:lineRule="auto"/>
              <w:jc w:val="center"/>
              <w:rPr>
                <w:rFonts w:hint="default" w:ascii="Times New Roman" w:hAnsi="Times New Roman" w:eastAsia="宋体" w:cs="Times New Roman"/>
                <w:sz w:val="21"/>
                <w:szCs w:val="21"/>
              </w:rPr>
            </w:pPr>
          </w:p>
        </w:tc>
      </w:tr>
      <w:tr w14:paraId="150FABAF">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6D092E70">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注册地址</w:t>
            </w:r>
          </w:p>
        </w:tc>
        <w:tc>
          <w:tcPr>
            <w:tcW w:w="3341" w:type="pct"/>
            <w:gridSpan w:val="4"/>
            <w:tcBorders>
              <w:top w:val="single" w:color="000000" w:sz="4" w:space="0"/>
              <w:left w:val="nil"/>
              <w:bottom w:val="single" w:color="000000" w:sz="4" w:space="0"/>
              <w:right w:val="single" w:color="000000" w:sz="4" w:space="0"/>
            </w:tcBorders>
            <w:vAlign w:val="center"/>
          </w:tcPr>
          <w:p w14:paraId="14477993">
            <w:pPr>
              <w:spacing w:line="360" w:lineRule="auto"/>
              <w:jc w:val="center"/>
              <w:rPr>
                <w:rFonts w:hint="default" w:ascii="Times New Roman" w:hAnsi="Times New Roman" w:eastAsia="宋体" w:cs="Times New Roman"/>
                <w:sz w:val="21"/>
                <w:szCs w:val="21"/>
              </w:rPr>
            </w:pPr>
          </w:p>
        </w:tc>
      </w:tr>
      <w:tr w14:paraId="379A618C">
        <w:tblPrEx>
          <w:tblCellMar>
            <w:top w:w="0" w:type="dxa"/>
            <w:left w:w="0" w:type="dxa"/>
            <w:bottom w:w="0" w:type="dxa"/>
            <w:right w:w="0" w:type="dxa"/>
          </w:tblCellMar>
        </w:tblPrEx>
        <w:trPr>
          <w:trHeight w:val="316" w:hRule="atLeast"/>
        </w:trPr>
        <w:tc>
          <w:tcPr>
            <w:tcW w:w="1658" w:type="pct"/>
            <w:tcBorders>
              <w:top w:val="single" w:color="000000" w:sz="4" w:space="0"/>
              <w:left w:val="single" w:color="000000" w:sz="4" w:space="0"/>
              <w:bottom w:val="single" w:color="000000" w:sz="4" w:space="0"/>
              <w:right w:val="single" w:color="000000" w:sz="4" w:space="0"/>
            </w:tcBorders>
            <w:vAlign w:val="center"/>
          </w:tcPr>
          <w:p w14:paraId="153A23A8">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邮政编码</w:t>
            </w:r>
          </w:p>
        </w:tc>
        <w:tc>
          <w:tcPr>
            <w:tcW w:w="1575" w:type="pct"/>
            <w:gridSpan w:val="2"/>
            <w:tcBorders>
              <w:top w:val="single" w:color="000000" w:sz="4" w:space="0"/>
              <w:left w:val="nil"/>
              <w:bottom w:val="single" w:color="000000" w:sz="4" w:space="0"/>
              <w:right w:val="single" w:color="000000" w:sz="4" w:space="0"/>
            </w:tcBorders>
            <w:vAlign w:val="center"/>
          </w:tcPr>
          <w:p w14:paraId="727697A7">
            <w:pPr>
              <w:spacing w:line="360" w:lineRule="auto"/>
              <w:jc w:val="center"/>
              <w:rPr>
                <w:rFonts w:hint="default" w:ascii="Times New Roman" w:hAnsi="Times New Roman" w:eastAsia="宋体" w:cs="Times New Roman"/>
                <w:sz w:val="21"/>
                <w:szCs w:val="21"/>
              </w:rPr>
            </w:pPr>
          </w:p>
        </w:tc>
        <w:tc>
          <w:tcPr>
            <w:tcW w:w="565" w:type="pct"/>
            <w:tcBorders>
              <w:top w:val="single" w:color="000000" w:sz="4" w:space="0"/>
              <w:left w:val="nil"/>
              <w:bottom w:val="single" w:color="000000" w:sz="4" w:space="0"/>
              <w:right w:val="single" w:color="000000" w:sz="4" w:space="0"/>
            </w:tcBorders>
            <w:vAlign w:val="center"/>
          </w:tcPr>
          <w:p w14:paraId="4AA4E7A4">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员工总数</w:t>
            </w:r>
          </w:p>
        </w:tc>
        <w:tc>
          <w:tcPr>
            <w:tcW w:w="1199" w:type="pct"/>
            <w:tcBorders>
              <w:top w:val="single" w:color="000000" w:sz="4" w:space="0"/>
              <w:left w:val="nil"/>
              <w:bottom w:val="single" w:color="000000" w:sz="4" w:space="0"/>
              <w:right w:val="single" w:color="000000" w:sz="4" w:space="0"/>
            </w:tcBorders>
            <w:vAlign w:val="center"/>
          </w:tcPr>
          <w:p w14:paraId="33574FBA">
            <w:pPr>
              <w:spacing w:line="360" w:lineRule="auto"/>
              <w:jc w:val="center"/>
              <w:rPr>
                <w:rFonts w:hint="default" w:ascii="Times New Roman" w:hAnsi="Times New Roman" w:eastAsia="宋体" w:cs="Times New Roman"/>
                <w:sz w:val="21"/>
                <w:szCs w:val="21"/>
              </w:rPr>
            </w:pPr>
          </w:p>
        </w:tc>
      </w:tr>
      <w:tr w14:paraId="481261F0">
        <w:tblPrEx>
          <w:tblCellMar>
            <w:top w:w="0" w:type="dxa"/>
            <w:left w:w="0" w:type="dxa"/>
            <w:bottom w:w="0" w:type="dxa"/>
            <w:right w:w="0" w:type="dxa"/>
          </w:tblCellMar>
        </w:tblPrEx>
        <w:tc>
          <w:tcPr>
            <w:tcW w:w="1658" w:type="pct"/>
            <w:vMerge w:val="restart"/>
            <w:tcBorders>
              <w:top w:val="nil"/>
              <w:left w:val="single" w:color="000000" w:sz="4" w:space="0"/>
              <w:bottom w:val="single" w:color="000000" w:sz="4" w:space="0"/>
              <w:right w:val="single" w:color="000000" w:sz="4" w:space="0"/>
            </w:tcBorders>
            <w:vAlign w:val="center"/>
          </w:tcPr>
          <w:p w14:paraId="389CFC92">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联系方式</w:t>
            </w:r>
          </w:p>
        </w:tc>
        <w:tc>
          <w:tcPr>
            <w:tcW w:w="438" w:type="pct"/>
            <w:tcBorders>
              <w:top w:val="single" w:color="000000" w:sz="4" w:space="0"/>
              <w:left w:val="nil"/>
              <w:bottom w:val="single" w:color="000000" w:sz="4" w:space="0"/>
              <w:right w:val="single" w:color="000000" w:sz="4" w:space="0"/>
            </w:tcBorders>
            <w:vAlign w:val="center"/>
          </w:tcPr>
          <w:p w14:paraId="7992362A">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联系人</w:t>
            </w:r>
          </w:p>
        </w:tc>
        <w:tc>
          <w:tcPr>
            <w:tcW w:w="1137" w:type="pct"/>
            <w:tcBorders>
              <w:top w:val="single" w:color="000000" w:sz="4" w:space="0"/>
              <w:left w:val="nil"/>
              <w:bottom w:val="single" w:color="000000" w:sz="4" w:space="0"/>
              <w:right w:val="single" w:color="000000" w:sz="4" w:space="0"/>
            </w:tcBorders>
            <w:vAlign w:val="center"/>
          </w:tcPr>
          <w:p w14:paraId="7934F43F">
            <w:pPr>
              <w:spacing w:line="360" w:lineRule="auto"/>
              <w:jc w:val="center"/>
              <w:rPr>
                <w:rFonts w:hint="default" w:ascii="Times New Roman" w:hAnsi="Times New Roman" w:eastAsia="宋体" w:cs="Times New Roman"/>
                <w:sz w:val="21"/>
                <w:szCs w:val="21"/>
              </w:rPr>
            </w:pPr>
          </w:p>
        </w:tc>
        <w:tc>
          <w:tcPr>
            <w:tcW w:w="565" w:type="pct"/>
            <w:tcBorders>
              <w:top w:val="single" w:color="000000" w:sz="4" w:space="0"/>
              <w:left w:val="nil"/>
              <w:bottom w:val="single" w:color="000000" w:sz="4" w:space="0"/>
              <w:right w:val="single" w:color="000000" w:sz="4" w:space="0"/>
            </w:tcBorders>
            <w:vAlign w:val="center"/>
          </w:tcPr>
          <w:p w14:paraId="7F8B12FD">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w:t>
            </w:r>
          </w:p>
        </w:tc>
        <w:tc>
          <w:tcPr>
            <w:tcW w:w="1199" w:type="pct"/>
            <w:tcBorders>
              <w:top w:val="single" w:color="000000" w:sz="4" w:space="0"/>
              <w:left w:val="nil"/>
              <w:bottom w:val="single" w:color="000000" w:sz="4" w:space="0"/>
              <w:right w:val="single" w:color="000000" w:sz="4" w:space="0"/>
            </w:tcBorders>
            <w:vAlign w:val="center"/>
          </w:tcPr>
          <w:p w14:paraId="156468BA">
            <w:pPr>
              <w:spacing w:line="360" w:lineRule="auto"/>
              <w:jc w:val="center"/>
              <w:rPr>
                <w:rFonts w:hint="default" w:ascii="Times New Roman" w:hAnsi="Times New Roman" w:eastAsia="宋体" w:cs="Times New Roman"/>
                <w:sz w:val="21"/>
                <w:szCs w:val="21"/>
              </w:rPr>
            </w:pPr>
          </w:p>
        </w:tc>
      </w:tr>
      <w:tr w14:paraId="3848BAA1">
        <w:tblPrEx>
          <w:tblCellMar>
            <w:top w:w="0" w:type="dxa"/>
            <w:left w:w="0" w:type="dxa"/>
            <w:bottom w:w="0" w:type="dxa"/>
            <w:right w:w="0"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04442123">
            <w:pPr>
              <w:spacing w:line="360" w:lineRule="auto"/>
              <w:jc w:val="center"/>
              <w:rPr>
                <w:rFonts w:hint="default" w:ascii="Times New Roman" w:hAnsi="Times New Roman" w:eastAsia="宋体" w:cs="Times New Roman"/>
                <w:sz w:val="21"/>
                <w:szCs w:val="21"/>
              </w:rPr>
            </w:pPr>
          </w:p>
        </w:tc>
        <w:tc>
          <w:tcPr>
            <w:tcW w:w="438" w:type="pct"/>
            <w:tcBorders>
              <w:top w:val="single" w:color="000000" w:sz="4" w:space="0"/>
              <w:left w:val="nil"/>
              <w:bottom w:val="single" w:color="000000" w:sz="4" w:space="0"/>
              <w:right w:val="single" w:color="000000" w:sz="4" w:space="0"/>
            </w:tcBorders>
            <w:vAlign w:val="center"/>
          </w:tcPr>
          <w:p w14:paraId="44B7F33D">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邮箱</w:t>
            </w:r>
          </w:p>
        </w:tc>
        <w:tc>
          <w:tcPr>
            <w:tcW w:w="1137" w:type="pct"/>
            <w:tcBorders>
              <w:top w:val="single" w:color="000000" w:sz="4" w:space="0"/>
              <w:left w:val="nil"/>
              <w:bottom w:val="single" w:color="000000" w:sz="4" w:space="0"/>
              <w:right w:val="single" w:color="000000" w:sz="4" w:space="0"/>
            </w:tcBorders>
            <w:vAlign w:val="center"/>
          </w:tcPr>
          <w:p w14:paraId="5FFB357D">
            <w:pPr>
              <w:spacing w:line="360" w:lineRule="auto"/>
              <w:jc w:val="center"/>
              <w:rPr>
                <w:rFonts w:hint="default" w:ascii="Times New Roman" w:hAnsi="Times New Roman" w:eastAsia="宋体" w:cs="Times New Roman"/>
                <w:sz w:val="21"/>
                <w:szCs w:val="21"/>
              </w:rPr>
            </w:pPr>
          </w:p>
        </w:tc>
        <w:tc>
          <w:tcPr>
            <w:tcW w:w="565" w:type="pct"/>
            <w:tcBorders>
              <w:top w:val="single" w:color="000000" w:sz="4" w:space="0"/>
              <w:left w:val="nil"/>
              <w:bottom w:val="single" w:color="000000" w:sz="4" w:space="0"/>
              <w:right w:val="single" w:color="000000" w:sz="4" w:space="0"/>
            </w:tcBorders>
            <w:vAlign w:val="center"/>
          </w:tcPr>
          <w:p w14:paraId="433FDD71">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传真</w:t>
            </w:r>
          </w:p>
        </w:tc>
        <w:tc>
          <w:tcPr>
            <w:tcW w:w="1199" w:type="pct"/>
            <w:tcBorders>
              <w:top w:val="single" w:color="000000" w:sz="4" w:space="0"/>
              <w:left w:val="nil"/>
              <w:bottom w:val="single" w:color="000000" w:sz="4" w:space="0"/>
              <w:right w:val="single" w:color="000000" w:sz="4" w:space="0"/>
            </w:tcBorders>
            <w:vAlign w:val="center"/>
          </w:tcPr>
          <w:p w14:paraId="041F1A83">
            <w:pPr>
              <w:spacing w:line="360" w:lineRule="auto"/>
              <w:jc w:val="center"/>
              <w:rPr>
                <w:rFonts w:hint="default" w:ascii="Times New Roman" w:hAnsi="Times New Roman" w:eastAsia="宋体" w:cs="Times New Roman"/>
                <w:sz w:val="21"/>
                <w:szCs w:val="21"/>
              </w:rPr>
            </w:pPr>
          </w:p>
        </w:tc>
      </w:tr>
      <w:tr w14:paraId="02AC9F92">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592C7E51">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法定代表人</w:t>
            </w:r>
          </w:p>
          <w:p w14:paraId="1AF6BC60">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（单位负责人）</w:t>
            </w:r>
          </w:p>
        </w:tc>
        <w:tc>
          <w:tcPr>
            <w:tcW w:w="438" w:type="pct"/>
            <w:tcBorders>
              <w:top w:val="single" w:color="000000" w:sz="4" w:space="0"/>
              <w:left w:val="nil"/>
              <w:bottom w:val="single" w:color="000000" w:sz="4" w:space="0"/>
              <w:right w:val="single" w:color="000000" w:sz="4" w:space="0"/>
            </w:tcBorders>
            <w:vAlign w:val="center"/>
          </w:tcPr>
          <w:p w14:paraId="06A56547">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姓名</w:t>
            </w:r>
          </w:p>
        </w:tc>
        <w:tc>
          <w:tcPr>
            <w:tcW w:w="1137" w:type="pct"/>
            <w:tcBorders>
              <w:top w:val="single" w:color="000000" w:sz="4" w:space="0"/>
              <w:left w:val="nil"/>
              <w:bottom w:val="single" w:color="000000" w:sz="4" w:space="0"/>
              <w:right w:val="single" w:color="000000" w:sz="4" w:space="0"/>
            </w:tcBorders>
            <w:vAlign w:val="center"/>
          </w:tcPr>
          <w:p w14:paraId="122B0354">
            <w:pPr>
              <w:spacing w:line="360" w:lineRule="auto"/>
              <w:jc w:val="center"/>
              <w:rPr>
                <w:rFonts w:hint="default" w:ascii="Times New Roman" w:hAnsi="Times New Roman" w:eastAsia="宋体" w:cs="Times New Roman"/>
                <w:sz w:val="21"/>
                <w:szCs w:val="21"/>
              </w:rPr>
            </w:pPr>
          </w:p>
        </w:tc>
        <w:tc>
          <w:tcPr>
            <w:tcW w:w="565" w:type="pct"/>
            <w:tcBorders>
              <w:top w:val="single" w:color="000000" w:sz="4" w:space="0"/>
              <w:left w:val="nil"/>
              <w:bottom w:val="single" w:color="000000" w:sz="4" w:space="0"/>
              <w:right w:val="single" w:color="000000" w:sz="4" w:space="0"/>
            </w:tcBorders>
            <w:vAlign w:val="center"/>
          </w:tcPr>
          <w:p w14:paraId="172B5947">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电话</w:t>
            </w:r>
          </w:p>
        </w:tc>
        <w:tc>
          <w:tcPr>
            <w:tcW w:w="1199" w:type="pct"/>
            <w:tcBorders>
              <w:top w:val="single" w:color="000000" w:sz="4" w:space="0"/>
              <w:left w:val="nil"/>
              <w:bottom w:val="single" w:color="000000" w:sz="4" w:space="0"/>
              <w:right w:val="single" w:color="000000" w:sz="4" w:space="0"/>
            </w:tcBorders>
            <w:vAlign w:val="center"/>
          </w:tcPr>
          <w:p w14:paraId="750CAF43">
            <w:pPr>
              <w:spacing w:line="360" w:lineRule="auto"/>
              <w:jc w:val="center"/>
              <w:rPr>
                <w:rFonts w:hint="default" w:ascii="Times New Roman" w:hAnsi="Times New Roman" w:eastAsia="宋体" w:cs="Times New Roman"/>
                <w:sz w:val="21"/>
                <w:szCs w:val="21"/>
              </w:rPr>
            </w:pPr>
          </w:p>
        </w:tc>
      </w:tr>
      <w:tr w14:paraId="51CB4793">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33724BD4">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与本项目采购需求相关的资质证书（提醒：本项目采购品目为其他医疗卫生服务）</w:t>
            </w:r>
          </w:p>
        </w:tc>
        <w:tc>
          <w:tcPr>
            <w:tcW w:w="3341" w:type="pct"/>
            <w:gridSpan w:val="4"/>
            <w:tcBorders>
              <w:top w:val="single" w:color="000000" w:sz="4" w:space="0"/>
              <w:left w:val="nil"/>
              <w:bottom w:val="single" w:color="000000" w:sz="4" w:space="0"/>
              <w:right w:val="single" w:color="000000" w:sz="4" w:space="0"/>
            </w:tcBorders>
            <w:vAlign w:val="center"/>
          </w:tcPr>
          <w:p w14:paraId="42D3C8CD">
            <w:pPr>
              <w:pStyle w:val="9"/>
              <w:spacing w:line="360" w:lineRule="auto"/>
              <w:jc w:val="center"/>
              <w:rPr>
                <w:rFonts w:hint="default" w:ascii="Times New Roman" w:hAnsi="Times New Roman" w:eastAsia="宋体" w:cs="Times New Roman"/>
                <w:sz w:val="21"/>
                <w:szCs w:val="21"/>
              </w:rPr>
            </w:pPr>
          </w:p>
        </w:tc>
      </w:tr>
      <w:tr w14:paraId="4C675334">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7E85A9D7">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企业规模情况（根据本项目采购标的对应的中小企业划分标准所属行业，如是中小微企业，请供应商登陆https://xwqy.gsxt.gov.cn/进行查询，附上截图）</w:t>
            </w:r>
          </w:p>
        </w:tc>
        <w:tc>
          <w:tcPr>
            <w:tcW w:w="3341" w:type="pct"/>
            <w:gridSpan w:val="4"/>
            <w:tcBorders>
              <w:top w:val="single" w:color="000000" w:sz="4" w:space="0"/>
              <w:left w:val="nil"/>
              <w:bottom w:val="single" w:color="000000" w:sz="4" w:space="0"/>
              <w:right w:val="single" w:color="000000" w:sz="4" w:space="0"/>
            </w:tcBorders>
            <w:vAlign w:val="center"/>
          </w:tcPr>
          <w:p w14:paraId="2AEF9CC4">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大型企业（  ）  中型企业（  ）  小型企业（  ）  </w:t>
            </w:r>
          </w:p>
          <w:p w14:paraId="68D19C55">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微小型企业（   ）</w:t>
            </w:r>
          </w:p>
        </w:tc>
      </w:tr>
      <w:tr w14:paraId="738E35CD">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32EFC211">
            <w:pPr>
              <w:pStyle w:val="9"/>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c>
          <w:tcPr>
            <w:tcW w:w="3341" w:type="pct"/>
            <w:gridSpan w:val="4"/>
            <w:tcBorders>
              <w:top w:val="single" w:color="000000" w:sz="4" w:space="0"/>
              <w:left w:val="nil"/>
              <w:bottom w:val="single" w:color="000000" w:sz="4" w:space="0"/>
              <w:right w:val="single" w:color="000000" w:sz="4" w:space="0"/>
            </w:tcBorders>
            <w:vAlign w:val="center"/>
          </w:tcPr>
          <w:p w14:paraId="32F4C74A">
            <w:pPr>
              <w:spacing w:line="360" w:lineRule="auto"/>
              <w:jc w:val="center"/>
              <w:rPr>
                <w:rFonts w:hint="default" w:ascii="Times New Roman" w:hAnsi="Times New Roman" w:eastAsia="宋体" w:cs="Times New Roman"/>
                <w:sz w:val="21"/>
                <w:szCs w:val="21"/>
              </w:rPr>
            </w:pPr>
          </w:p>
        </w:tc>
      </w:tr>
    </w:tbl>
    <w:p w14:paraId="13507AC5">
      <w:pPr>
        <w:pStyle w:val="8"/>
        <w:spacing w:line="360" w:lineRule="auto"/>
        <w:ind w:left="0" w:leftChars="0" w:firstLine="0" w:firstLineChars="0"/>
        <w:rPr>
          <w:rFonts w:hint="default" w:ascii="Times New Roman" w:hAnsi="Times New Roman" w:eastAsia="宋体" w:cs="Times New Roman"/>
          <w:b/>
          <w:bCs/>
          <w:sz w:val="24"/>
          <w:szCs w:val="24"/>
        </w:rPr>
      </w:pPr>
    </w:p>
    <w:p w14:paraId="31B2E419">
      <w:pPr>
        <w:pStyle w:val="8"/>
        <w:spacing w:line="360" w:lineRule="auto"/>
        <w:ind w:left="0" w:leftChars="0" w:firstLine="0" w:firstLineChars="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2.供应商基本情况调查：（满足的请打勾）</w:t>
      </w:r>
    </w:p>
    <w:p w14:paraId="36E558D7">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2.1满足具备《政府采购法》第二十二条规定的条件。《政府采购法》第二十二条规定</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(一)具有独立承担民事责任的能力；(二)具有良好的商业信誉和健全的财务会计制度；(三)具有履行合同所必需的设备和专业技术能力； (四)有依法缴纳税收和社会保障资金的良好记录；(五)参加政府采购活动前三年内，在经营活动中没有重大违法记录；(六)法律、行政法规规定的其他条件。采购人可以根据采购项目的特殊要求，规定供应商的特定条件，但不得以不合理的条件对供应商实行差别待遇或者歧视待遇。（  ）</w:t>
      </w:r>
    </w:p>
    <w:p w14:paraId="178E0E11">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2.2具有独立承担民事责任能力的在中华人民共和国境内注册的法人或其他组织或自然人。（  ）</w:t>
      </w:r>
    </w:p>
    <w:p w14:paraId="3FBE7379">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2.3具有良好的商业信誉和健全的财务会计制度。（  ）</w:t>
      </w:r>
    </w:p>
    <w:p w14:paraId="0860C5DF">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2.4.具有履行合同所必需的设备和专业技术能力。（  ）</w:t>
      </w:r>
    </w:p>
    <w:p w14:paraId="0393B87C">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2.5具有依法缴纳税收和社会保障资金的良好记录。（  ）</w:t>
      </w:r>
    </w:p>
    <w:p w14:paraId="55191090">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2.6.投标人是否有参加政府采购活动前3年内在经营活动中没有重大违法记录的书面声明；</w:t>
      </w:r>
    </w:p>
    <w:p w14:paraId="3D9D41E6">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2.7.投标人是否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说明：①、由负责资格性审查人员于投标截止日在“信用中国”网站（www.creditchina.gov.cn）及中国政府采购网(www.ccgp.gov.cn)查询结果为准。②、在上述网站查询结果显示“很抱歉，没有找到您搜索的企业”或“共0条记录”，视为没有上述不良信用信息记录 。③、采购代理机构同时对信用信息查询记录和证据截图或下载存档。）；</w:t>
      </w:r>
    </w:p>
    <w:p w14:paraId="54F5E95F">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2.8.投标人是否为独立的第三方实验室；（请附资料说明，含检验项目手册）</w:t>
      </w:r>
    </w:p>
    <w:p w14:paraId="7906D306">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2.9.投标人是否与单位负责人为同一人或者存在控股、管理关系的不同单位。(投标人出具声明函)</w:t>
      </w:r>
    </w:p>
    <w:p w14:paraId="15DA9481">
      <w:pPr>
        <w:pStyle w:val="2"/>
        <w:spacing w:line="360" w:lineRule="auto"/>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二、</w:t>
      </w:r>
      <w:r>
        <w:rPr>
          <w:rFonts w:hint="default" w:ascii="Times New Roman" w:hAnsi="Times New Roman" w:eastAsia="宋体" w:cs="Times New Roman"/>
          <w:b/>
          <w:bCs/>
          <w:sz w:val="24"/>
          <w:szCs w:val="24"/>
        </w:rPr>
        <w:t>相关产业发展及市场供给情况（请供应商附上相关资料说明）</w:t>
      </w:r>
    </w:p>
    <w:p w14:paraId="6FB2D2E1">
      <w:pPr>
        <w:pStyle w:val="2"/>
        <w:ind w:firstLine="420" w:firstLineChars="200"/>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1.遗传病分子检测在</w:t>
      </w:r>
      <w:r>
        <w:rPr>
          <w:rFonts w:hint="eastAsia" w:ascii="宋体" w:eastAsia="宋体" w:cs="宋体"/>
          <w:b w:val="0"/>
          <w:bCs w:val="0"/>
          <w:sz w:val="21"/>
          <w:szCs w:val="21"/>
        </w:rPr>
        <w:t>国内技术水平、行业发展情况及市场供给情况。（请附资料说明）</w:t>
      </w:r>
    </w:p>
    <w:p w14:paraId="6FDB7BDB">
      <w:pPr>
        <w:pStyle w:val="2"/>
        <w:ind w:firstLine="420" w:firstLineChars="200"/>
        <w:rPr>
          <w:rFonts w:hint="default" w:ascii="Times New Roman" w:hAnsi="Times New Roman" w:eastAsia="宋体" w:cs="Times New Roman"/>
          <w:sz w:val="21"/>
          <w:szCs w:val="21"/>
        </w:rPr>
      </w:pPr>
      <w:r>
        <w:rPr>
          <w:rFonts w:hint="eastAsia" w:cs="宋体"/>
          <w:b w:val="0"/>
          <w:bCs w:val="0"/>
          <w:sz w:val="21"/>
          <w:szCs w:val="21"/>
          <w:lang w:val="en-US" w:eastAsia="zh-CN"/>
        </w:rPr>
        <w:t>2.</w:t>
      </w:r>
      <w:r>
        <w:rPr>
          <w:rFonts w:hint="eastAsia" w:ascii="宋体" w:eastAsia="宋体" w:cs="宋体"/>
          <w:b w:val="0"/>
          <w:bCs w:val="0"/>
          <w:sz w:val="21"/>
          <w:szCs w:val="21"/>
          <w:lang w:val="en-US" w:eastAsia="zh-CN"/>
        </w:rPr>
        <w:t>投标人单位</w:t>
      </w:r>
      <w:r>
        <w:rPr>
          <w:rFonts w:hint="eastAsia" w:ascii="宋体" w:eastAsia="宋体" w:cs="宋体"/>
          <w:b w:val="0"/>
          <w:bCs w:val="0"/>
          <w:sz w:val="21"/>
          <w:szCs w:val="21"/>
        </w:rPr>
        <w:t>开展</w:t>
      </w:r>
      <w:r>
        <w:rPr>
          <w:rFonts w:hint="eastAsia" w:cs="宋体"/>
          <w:b w:val="0"/>
          <w:bCs w:val="0"/>
          <w:sz w:val="21"/>
          <w:szCs w:val="21"/>
          <w:lang w:val="en-US" w:eastAsia="zh-CN"/>
        </w:rPr>
        <w:t>遗传病</w:t>
      </w:r>
      <w:r>
        <w:rPr>
          <w:rFonts w:hint="eastAsia" w:ascii="宋体" w:eastAsia="宋体" w:cs="宋体"/>
          <w:b w:val="0"/>
          <w:bCs w:val="0"/>
          <w:sz w:val="21"/>
          <w:szCs w:val="21"/>
          <w:lang w:val="en-US" w:eastAsia="zh-CN"/>
        </w:rPr>
        <w:t>分子</w:t>
      </w:r>
      <w:r>
        <w:rPr>
          <w:rFonts w:hint="eastAsia" w:ascii="宋体" w:eastAsia="宋体" w:cs="宋体"/>
          <w:b w:val="0"/>
          <w:bCs w:val="0"/>
          <w:sz w:val="21"/>
          <w:szCs w:val="21"/>
        </w:rPr>
        <w:t>检测技术的自身发展情况及优势。（请附资料说明）</w:t>
      </w:r>
    </w:p>
    <w:p w14:paraId="6ADC038B">
      <w:pPr>
        <w:ind w:firstLine="420" w:firstLineChars="200"/>
        <w:rPr>
          <w:rFonts w:hint="eastAsia" w:ascii="宋体" w:hAnsi="宋体" w:cs="宋体"/>
          <w:szCs w:val="21"/>
        </w:rPr>
      </w:pPr>
      <w:r>
        <w:rPr>
          <w:rFonts w:hint="eastAsia" w:ascii="宋体" w:hAnsi="宋体" w:cs="宋体"/>
          <w:szCs w:val="21"/>
        </w:rPr>
        <w:t>3.</w:t>
      </w:r>
      <w:r>
        <w:rPr>
          <w:rFonts w:hint="eastAsia" w:cs="宋体"/>
          <w:b w:val="0"/>
          <w:bCs w:val="0"/>
          <w:sz w:val="21"/>
          <w:szCs w:val="21"/>
          <w:lang w:val="en-US" w:eastAsia="zh-CN"/>
        </w:rPr>
        <w:t>遗传病</w:t>
      </w:r>
      <w:r>
        <w:rPr>
          <w:rFonts w:hint="eastAsia" w:ascii="宋体" w:eastAsia="宋体" w:cs="宋体"/>
          <w:b w:val="0"/>
          <w:bCs w:val="0"/>
          <w:sz w:val="21"/>
          <w:szCs w:val="21"/>
          <w:lang w:val="en-US" w:eastAsia="zh-CN"/>
        </w:rPr>
        <w:t>分子</w:t>
      </w:r>
      <w:r>
        <w:rPr>
          <w:rFonts w:hint="eastAsia" w:ascii="宋体" w:cs="宋体"/>
          <w:b w:val="0"/>
          <w:bCs w:val="0"/>
          <w:szCs w:val="21"/>
        </w:rPr>
        <w:t>检测</w:t>
      </w:r>
      <w:r>
        <w:rPr>
          <w:rFonts w:hint="eastAsia" w:ascii="宋体" w:hAnsi="宋体" w:cs="宋体"/>
          <w:szCs w:val="21"/>
        </w:rPr>
        <w:t>涉及的相关标准和规范（请详细列出）</w:t>
      </w:r>
    </w:p>
    <w:p w14:paraId="1E7B714B">
      <w:pPr>
        <w:ind w:firstLine="420" w:firstLineChars="200"/>
        <w:rPr>
          <w:rFonts w:hint="eastAsia" w:ascii="宋体" w:hAnsi="宋体" w:cs="宋体"/>
          <w:szCs w:val="21"/>
        </w:rPr>
      </w:pPr>
      <w:r>
        <w:rPr>
          <w:rFonts w:hint="eastAsia" w:ascii="宋体" w:hAnsi="宋体" w:cs="宋体"/>
          <w:szCs w:val="21"/>
        </w:rPr>
        <w:t>4.请说明开展</w:t>
      </w:r>
      <w:r>
        <w:rPr>
          <w:rFonts w:hint="eastAsia" w:cs="宋体"/>
          <w:b w:val="0"/>
          <w:bCs w:val="0"/>
          <w:sz w:val="21"/>
          <w:szCs w:val="21"/>
          <w:lang w:val="en-US" w:eastAsia="zh-CN"/>
        </w:rPr>
        <w:t>遗传病</w:t>
      </w:r>
      <w:r>
        <w:rPr>
          <w:rFonts w:hint="eastAsia" w:ascii="宋体" w:eastAsia="宋体" w:cs="宋体"/>
          <w:b w:val="0"/>
          <w:bCs w:val="0"/>
          <w:sz w:val="21"/>
          <w:szCs w:val="21"/>
          <w:lang w:val="en-US" w:eastAsia="zh-CN"/>
        </w:rPr>
        <w:t>分子</w:t>
      </w:r>
      <w:r>
        <w:rPr>
          <w:rFonts w:hint="eastAsia" w:ascii="宋体" w:cs="宋体"/>
          <w:b w:val="0"/>
          <w:bCs w:val="0"/>
          <w:szCs w:val="21"/>
        </w:rPr>
        <w:t>检测技术的</w:t>
      </w:r>
      <w:r>
        <w:rPr>
          <w:rFonts w:hint="eastAsia" w:ascii="宋体" w:hAnsi="宋体" w:cs="宋体"/>
          <w:szCs w:val="21"/>
        </w:rPr>
        <w:t>资质要求。</w:t>
      </w:r>
    </w:p>
    <w:p w14:paraId="5AE2275C">
      <w:pPr>
        <w:spacing w:line="360" w:lineRule="auto"/>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三、</w:t>
      </w:r>
      <w:r>
        <w:rPr>
          <w:rFonts w:hint="default" w:ascii="Times New Roman" w:hAnsi="Times New Roman" w:eastAsia="宋体" w:cs="Times New Roman"/>
          <w:b/>
          <w:bCs/>
          <w:sz w:val="24"/>
          <w:szCs w:val="24"/>
        </w:rPr>
        <w:t>与项目相关的调查指标</w:t>
      </w:r>
    </w:p>
    <w:p w14:paraId="310CEBC9">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（一）质量技术情况调查（请提供相关证明材料）</w:t>
      </w:r>
    </w:p>
    <w:p w14:paraId="549F4937">
      <w:pPr>
        <w:spacing w:line="360" w:lineRule="auto"/>
        <w:ind w:firstLine="420" w:firstLineChars="200"/>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eastAsia="宋体" w:cs="Times New Roman"/>
          <w:sz w:val="21"/>
          <w:szCs w:val="21"/>
        </w:rPr>
        <w:t>投标人是否获得临检基因扩增检验实验室验收合格证书、遗传病高通量检测生信分析室间质评证书，染色体基因组结构异常检测室间质评证书，有完整的培训体系。</w:t>
      </w:r>
    </w:p>
    <w:p w14:paraId="038A25C6">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投标实验室是否拥有权威机构的技术支撑，能依托权威技术支撑机构，以及医院的资源，协助医院开展进修培训、协助医院开展继续教育、学术交流活动。</w:t>
      </w:r>
    </w:p>
    <w:p w14:paraId="38311FC8">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 xml:space="preserve">投标人实验室是否具有完善的质量管理体系，包括但不限于： </w:t>
      </w:r>
    </w:p>
    <w:p w14:paraId="4F9D162B">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(1)是否随时接受并妥善安排用户查阅项目检测、质量控制等情况。定期提供委托项目的样本周转时间（TAT）分析，对于用户提出的要求及时反馈并更正；</w:t>
      </w:r>
    </w:p>
    <w:p w14:paraId="586859A5">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(2)是否提供项目的受控SOP文件、室间质评的合格证书等资料供我院分子医学中心或其他相关实验室审核；</w:t>
      </w:r>
    </w:p>
    <w:p w14:paraId="3643E99B">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(3)是否按用户要求，随时提供质量和技术资料，如更换试剂批号、仪器维修后、检验系统更换后的质控记录和性能验证报告。</w:t>
      </w:r>
    </w:p>
    <w:p w14:paraId="6665B0E7">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（二）服务团队方案</w:t>
      </w:r>
    </w:p>
    <w:p w14:paraId="664086B3">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人所委派本项目的人员配备（标明本包组项目不同职称人员数目）、职责，提供完备的服务团队，包括项目负责人、技术人员等需具备检验资格卫生技术、临床基因扩增检验技术证书等。（注：需提供相关人员的资格证书复印件并加盖投标人公章，提供项目团队成员社保证明（窗口打印件或网上截图均可）或劳动关系证明。）</w:t>
      </w:r>
    </w:p>
    <w:p w14:paraId="547C79BC">
      <w:pPr>
        <w:pStyle w:val="8"/>
        <w:numPr>
          <w:ilvl w:val="0"/>
          <w:numId w:val="1"/>
        </w:numPr>
        <w:spacing w:line="360" w:lineRule="auto"/>
        <w:ind w:firstLineChars="0"/>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标本收集、运送方案</w:t>
      </w:r>
    </w:p>
    <w:p w14:paraId="1D9A7C16">
      <w:pPr>
        <w:pStyle w:val="8"/>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人是否制定有完善的标本采集、运输、贮存、结果发放的制度，具有药品冷链物流运作规范国家标准达标与生物安全要求并被切实执行，同时必须配备完善医疗冷链物流系统和信息服务体系，要保证接收、送检标本运输过程的安全，保证标本的质量（需提供相关证明文件）。</w:t>
      </w:r>
    </w:p>
    <w:p w14:paraId="575E8A6E">
      <w:pPr>
        <w:spacing w:line="360" w:lineRule="auto"/>
        <w:ind w:firstLine="420" w:firstLineChars="200"/>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2.投标实验室具备检测样本的类型包括但不限于以下种类：全血、干血片、组织</w:t>
      </w:r>
      <w:r>
        <w:rPr>
          <w:rFonts w:hint="eastAsia" w:ascii="Times New Roman" w:hAnsi="Times New Roman" w:cs="Times New Roman"/>
          <w:sz w:val="21"/>
          <w:szCs w:val="21"/>
          <w:lang w:eastAsia="zh-CN"/>
        </w:rPr>
        <w:t>。</w:t>
      </w:r>
    </w:p>
    <w:p w14:paraId="537DE5C4">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（四）投标人实验及生信平台要提供以下参数（需提供相关证明文件）。</w:t>
      </w:r>
    </w:p>
    <w:p w14:paraId="5935F4FC">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1.拥有多类型的二代测序及非测序</w:t>
      </w:r>
      <w:r>
        <w:rPr>
          <w:rFonts w:hint="eastAsia" w:ascii="Times New Roman" w:hAnsi="Times New Roman" w:cs="Times New Roman"/>
          <w:sz w:val="21"/>
          <w:szCs w:val="21"/>
          <w:lang w:val="en-US" w:eastAsia="zh-CN"/>
        </w:rPr>
        <w:t>类</w:t>
      </w:r>
      <w:r>
        <w:rPr>
          <w:rFonts w:hint="default" w:ascii="Times New Roman" w:hAnsi="Times New Roman" w:eastAsia="宋体" w:cs="Times New Roman"/>
          <w:sz w:val="21"/>
          <w:szCs w:val="21"/>
        </w:rPr>
        <w:t>验证检测</w:t>
      </w:r>
      <w:r>
        <w:rPr>
          <w:rFonts w:hint="eastAsia" w:ascii="Times New Roman" w:hAnsi="Times New Roman" w:cs="Times New Roman"/>
          <w:sz w:val="21"/>
          <w:szCs w:val="21"/>
          <w:lang w:val="en-US" w:eastAsia="zh-CN"/>
        </w:rPr>
        <w:t>技术</w:t>
      </w:r>
      <w:r>
        <w:rPr>
          <w:rFonts w:hint="default" w:ascii="Times New Roman" w:hAnsi="Times New Roman" w:eastAsia="宋体" w:cs="Times New Roman"/>
          <w:sz w:val="21"/>
          <w:szCs w:val="21"/>
        </w:rPr>
        <w:t>平台，以满足项目需求。</w:t>
      </w:r>
    </w:p>
    <w:p w14:paraId="3880B630">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2.单批次样本处理容量：NGS检测单批次</w:t>
      </w:r>
      <w:r>
        <w:rPr>
          <w:rFonts w:hint="eastAsia" w:ascii="Times New Roman" w:hAnsi="Times New Roman" w:cs="Times New Roman"/>
          <w:sz w:val="21"/>
          <w:szCs w:val="21"/>
          <w:lang w:val="en-US" w:eastAsia="zh-CN"/>
        </w:rPr>
        <w:t>能够</w:t>
      </w:r>
      <w:r>
        <w:rPr>
          <w:rFonts w:hint="default" w:ascii="Times New Roman" w:hAnsi="Times New Roman" w:eastAsia="宋体" w:cs="Times New Roman"/>
          <w:sz w:val="21"/>
          <w:szCs w:val="21"/>
        </w:rPr>
        <w:t xml:space="preserve">并行处理大于500例样本。  </w:t>
      </w:r>
    </w:p>
    <w:p w14:paraId="394D15DA">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3.拟投入配套硬件设备：投标人需具备完善的遗传病检测能力，并自主拥有满足项目需求的高通量测序仪、数据分析及验证所需的关键设备；</w:t>
      </w:r>
    </w:p>
    <w:p w14:paraId="36BEBA5B">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4.测序数据分析处理速度：能够在30</w:t>
      </w:r>
      <w:r>
        <w:rPr>
          <w:rFonts w:hint="eastAsia" w:ascii="Times New Roman" w:hAnsi="Times New Roman" w:cs="Times New Roman"/>
          <w:sz w:val="21"/>
          <w:szCs w:val="21"/>
          <w:lang w:val="en-US" w:eastAsia="zh-CN"/>
        </w:rPr>
        <w:t>分钟</w:t>
      </w:r>
      <w:r>
        <w:rPr>
          <w:rFonts w:hint="default" w:ascii="Times New Roman" w:hAnsi="Times New Roman" w:eastAsia="宋体" w:cs="Times New Roman"/>
          <w:sz w:val="21"/>
          <w:szCs w:val="21"/>
        </w:rPr>
        <w:t>内完成平均覆盖度30x的全基因组（三人家系）分析，5分钟内完成平均</w:t>
      </w:r>
      <w:bookmarkStart w:id="0" w:name="OLE_LINK1"/>
      <w:r>
        <w:rPr>
          <w:rFonts w:hint="default" w:ascii="Times New Roman" w:hAnsi="Times New Roman" w:eastAsia="宋体" w:cs="Times New Roman"/>
          <w:sz w:val="21"/>
          <w:szCs w:val="21"/>
        </w:rPr>
        <w:t>覆盖度100x的全外显子组分析</w:t>
      </w:r>
      <w:bookmarkEnd w:id="0"/>
      <w:r>
        <w:rPr>
          <w:rFonts w:hint="default" w:ascii="Times New Roman" w:hAnsi="Times New Roman" w:eastAsia="宋体" w:cs="Times New Roman"/>
          <w:sz w:val="21"/>
          <w:szCs w:val="21"/>
        </w:rPr>
        <w:t xml:space="preserve">，24小时内完成超过200个平均覆盖度不低于100x的全外显子组分析。 </w:t>
      </w:r>
    </w:p>
    <w:p w14:paraId="0889355E">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5.遗传解读能力：遗传解读参考的专业数据库应至少包括以下3种以上：HGMD（专业版）、Alamut、Varsome、ClinVar，gnomAD、ClinGen、Decipher,并有能力准确应用ACMG变异评级框架及每年定期更新的ClinGen的基因或疾病专门性指南，来对各种SNV、indel及CNV变异进行最新评级，并具备基因-疾病关联性评估能力，且具备针对各类临床功能学实验的证据等级提供精准的证据强度，并具备基于基因特性来设计临床功能实验，以提供更多致病/良性证据的能力。                                  </w:t>
      </w:r>
    </w:p>
    <w:p w14:paraId="12D1065B">
      <w:pPr>
        <w:pStyle w:val="2"/>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6.院内本地化数据处理和遗传解读能力：可提供院内本地化测序数据分析与遗传解读方案，在采购人单位实现完整的数据分析质控到遗传解读报告的全流程操作，可在离线断网状态完成系统部署与所有生产分析工作，提供方案说明书及其他证明材料。         </w:t>
      </w:r>
    </w:p>
    <w:p w14:paraId="77ED952A">
      <w:pPr>
        <w:pStyle w:val="2"/>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7.特殊序列区域分析能力：有效区分高度同源基因序列（至少包括临床检测常见的OPN1LW/MW、SBDS、SMN1/SMN2、HBA1/HBA2、CYP21A2/TNXB、IDS、VWF、PKD1等基因），提供分析方案</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实际案例</w:t>
      </w:r>
      <w:r>
        <w:rPr>
          <w:rFonts w:hint="eastAsia" w:ascii="Times New Roman" w:hAnsi="Times New Roman" w:cs="Times New Roman"/>
          <w:sz w:val="21"/>
          <w:szCs w:val="21"/>
          <w:lang w:val="en-US" w:eastAsia="zh-CN"/>
        </w:rPr>
        <w:t>和相关</w:t>
      </w:r>
      <w:r>
        <w:rPr>
          <w:rFonts w:hint="default" w:ascii="Times New Roman" w:hAnsi="Times New Roman" w:eastAsia="宋体" w:cs="Times New Roman"/>
          <w:sz w:val="21"/>
          <w:szCs w:val="21"/>
        </w:rPr>
        <w:t>文献。</w:t>
      </w:r>
    </w:p>
    <w:p w14:paraId="6BCB8E50">
      <w:pPr>
        <w:pStyle w:val="2"/>
        <w:spacing w:line="360" w:lineRule="auto"/>
        <w:ind w:firstLine="420" w:firstLineChars="200"/>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8.非测序</w:t>
      </w:r>
      <w:r>
        <w:rPr>
          <w:rFonts w:hint="eastAsia" w:ascii="Times New Roman" w:hAnsi="Times New Roman" w:cs="Times New Roman"/>
          <w:sz w:val="21"/>
          <w:szCs w:val="21"/>
          <w:lang w:val="en-US" w:eastAsia="zh-CN"/>
        </w:rPr>
        <w:t>类</w:t>
      </w:r>
      <w:r>
        <w:rPr>
          <w:rFonts w:hint="default" w:ascii="Times New Roman" w:hAnsi="Times New Roman" w:eastAsia="宋体" w:cs="Times New Roman"/>
          <w:sz w:val="21"/>
          <w:szCs w:val="21"/>
        </w:rPr>
        <w:t>检测项目技术要求：提供针对脊髓性肌萎缩、假肥大性肌营养不良、血友病、Prader-Willi综合征、天使综合征、Beckwith-Wiedemann综合征、Russell-Silver综合征、脊髓小脑共济失调等相关疾病特殊类型变异（如拷贝数</w:t>
      </w:r>
      <w:r>
        <w:rPr>
          <w:rFonts w:hint="eastAsia" w:ascii="Times New Roman" w:hAnsi="Times New Roman" w:cs="Times New Roman"/>
          <w:sz w:val="21"/>
          <w:szCs w:val="21"/>
          <w:lang w:val="en-US" w:eastAsia="zh-CN"/>
        </w:rPr>
        <w:t>变异</w:t>
      </w:r>
      <w:r>
        <w:rPr>
          <w:rFonts w:hint="default" w:ascii="Times New Roman" w:hAnsi="Times New Roman" w:eastAsia="宋体" w:cs="Times New Roman"/>
          <w:sz w:val="21"/>
          <w:szCs w:val="21"/>
        </w:rPr>
        <w:t>、甲基化异常、动态突变等）的非测序</w:t>
      </w:r>
      <w:r>
        <w:rPr>
          <w:rFonts w:hint="eastAsia" w:ascii="Times New Roman" w:hAnsi="Times New Roman" w:cs="Times New Roman"/>
          <w:sz w:val="21"/>
          <w:szCs w:val="21"/>
          <w:lang w:val="en-US" w:eastAsia="zh-CN"/>
        </w:rPr>
        <w:t>类</w:t>
      </w:r>
      <w:r>
        <w:rPr>
          <w:rFonts w:hint="default" w:ascii="Times New Roman" w:hAnsi="Times New Roman" w:eastAsia="宋体" w:cs="Times New Roman"/>
          <w:sz w:val="21"/>
          <w:szCs w:val="21"/>
        </w:rPr>
        <w:t>检测项目，</w:t>
      </w:r>
      <w:r>
        <w:rPr>
          <w:rFonts w:hint="eastAsia" w:ascii="Times New Roman" w:hAnsi="Times New Roman" w:cs="Times New Roman"/>
          <w:sz w:val="21"/>
          <w:szCs w:val="21"/>
          <w:lang w:val="en-US" w:eastAsia="zh-CN"/>
        </w:rPr>
        <w:t>以供临床验证所需，</w:t>
      </w:r>
      <w:r>
        <w:rPr>
          <w:rFonts w:hint="default" w:ascii="Times New Roman" w:hAnsi="Times New Roman" w:eastAsia="宋体" w:cs="Times New Roman"/>
          <w:sz w:val="21"/>
          <w:szCs w:val="21"/>
        </w:rPr>
        <w:t>覆盖</w:t>
      </w:r>
      <w:r>
        <w:rPr>
          <w:rFonts w:hint="eastAsia" w:ascii="Times New Roman" w:hAnsi="Times New Roman" w:cs="Times New Roman"/>
          <w:sz w:val="21"/>
          <w:szCs w:val="21"/>
          <w:lang w:val="en-US" w:eastAsia="zh-CN"/>
        </w:rPr>
        <w:t>的</w:t>
      </w:r>
      <w:r>
        <w:rPr>
          <w:rFonts w:hint="default" w:ascii="Times New Roman" w:hAnsi="Times New Roman" w:eastAsia="宋体" w:cs="Times New Roman"/>
          <w:sz w:val="21"/>
          <w:szCs w:val="21"/>
        </w:rPr>
        <w:t>技术类别</w:t>
      </w:r>
      <w:r>
        <w:rPr>
          <w:rFonts w:hint="eastAsia" w:ascii="Times New Roman" w:hAnsi="Times New Roman" w:cs="Times New Roman"/>
          <w:sz w:val="21"/>
          <w:szCs w:val="21"/>
          <w:lang w:val="en-US" w:eastAsia="zh-CN"/>
        </w:rPr>
        <w:t>应</w:t>
      </w:r>
      <w:r>
        <w:rPr>
          <w:rFonts w:hint="default" w:ascii="Times New Roman" w:hAnsi="Times New Roman" w:eastAsia="宋体" w:cs="Times New Roman"/>
          <w:sz w:val="21"/>
          <w:szCs w:val="21"/>
        </w:rPr>
        <w:t>包括sanger、qPCR、MLPA、片段分析等。</w:t>
      </w:r>
    </w:p>
    <w:p w14:paraId="2E9146DC">
      <w:pPr>
        <w:pStyle w:val="2"/>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（五）售后服务方案</w:t>
      </w:r>
    </w:p>
    <w:p w14:paraId="1658264A">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实验室是否提供免费服务电话、网络查询、微信查询等多种渠道供采购人相关临床部门进行业务咨询、报告查询、账单查询统计功能。制定完善制度和流程保障上门服务，并派驻具有医学检验背景的专业人员提供上门售后服务。</w:t>
      </w:r>
    </w:p>
    <w:p w14:paraId="4EC1997B">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检验信息化服务能力方案方面，投标实验室是否具备检验信息系统，是否可以与采购人对接，以能满足客户要求。投标人负责与医院LIS和HIS系统对接,并负责LIS和HIS系统对接产生的所有费用，该费用包含在投标报价中。</w:t>
      </w:r>
    </w:p>
    <w:p w14:paraId="7429F127">
      <w:pPr>
        <w:pStyle w:val="2"/>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3.投标人为医院与临床与其他医院相关专家提供良好的交流与学习机会（需提供相关证明文件）。</w:t>
      </w:r>
    </w:p>
    <w:p w14:paraId="2C90FA43">
      <w:pPr>
        <w:spacing w:line="360" w:lineRule="auto"/>
        <w:ind w:left="420" w:leftChars="200" w:firstLine="0" w:firstLineChars="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4.投标人是否能提供报告解读及技术支持能力（需提供相关证明文件）。</w:t>
      </w:r>
    </w:p>
    <w:p w14:paraId="67EA5CD4">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（1）检验报告含有检测变异信息、检测结果说明等内容，投标人是否能根据国内外相关指南建议进行报告解读；</w:t>
      </w:r>
    </w:p>
    <w:p w14:paraId="13B2BC77">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（2）投标人是否与国内知名院校教学科室有整体合作，可针对疑难病例进行讲解与咨询。</w:t>
      </w:r>
    </w:p>
    <w:p w14:paraId="08154D79">
      <w:pPr>
        <w:spacing w:line="360" w:lineRule="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（六）升级更新、备品备件、耗材等后续采购</w:t>
      </w:r>
    </w:p>
    <w:p w14:paraId="3449C871">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投标人是否保证其用到本项目的专利、技术是其合格持有，且享有处分权，若因实施本项目的专利技术产生的侵权纠纷，采购人有权向中标人追究责任，并向中标人索赔因此受到的全部损失，并有权单方终止本项目合同。</w:t>
      </w:r>
    </w:p>
    <w:p w14:paraId="0D9B5458">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 投标人是否对采购人送检的合格样本结果负责，对于按照中标人要求取材的合格样本，若因中标人原因导致检测结果存在质量问题，由中标人承担相应责任。</w:t>
      </w:r>
    </w:p>
    <w:p w14:paraId="702A5B79">
      <w:pPr>
        <w:rPr>
          <w:rFonts w:hint="eastAsia"/>
          <w:b/>
          <w:bCs/>
          <w:sz w:val="24"/>
          <w:szCs w:val="24"/>
        </w:rPr>
      </w:pPr>
      <w:r>
        <w:rPr>
          <w:rFonts w:hint="eastAsia"/>
          <w:b/>
          <w:bCs/>
          <w:sz w:val="24"/>
          <w:szCs w:val="24"/>
        </w:rPr>
        <w:t>（七）与项目相关的应急方案</w:t>
      </w:r>
    </w:p>
    <w:p w14:paraId="6C2AEABA">
      <w:pPr>
        <w:ind w:firstLine="420" w:firstLineChars="200"/>
        <w:rPr>
          <w:rFonts w:hint="eastAsia"/>
          <w:color w:val="auto"/>
        </w:rPr>
      </w:pPr>
      <w:r>
        <w:rPr>
          <w:rFonts w:hint="eastAsia"/>
          <w:color w:val="auto"/>
          <w:lang w:val="en-US" w:eastAsia="zh-CN"/>
        </w:rPr>
        <w:t>投</w:t>
      </w:r>
      <w:r>
        <w:rPr>
          <w:rFonts w:hint="eastAsia"/>
          <w:color w:val="auto"/>
        </w:rPr>
        <w:t>标人</w:t>
      </w:r>
      <w:r>
        <w:rPr>
          <w:rFonts w:hint="eastAsia"/>
          <w:color w:val="auto"/>
          <w:lang w:val="en-US" w:eastAsia="zh-CN"/>
        </w:rPr>
        <w:t>应</w:t>
      </w:r>
      <w:r>
        <w:rPr>
          <w:rFonts w:hint="eastAsia"/>
          <w:color w:val="auto"/>
        </w:rPr>
        <w:t>提供送检服务应急措施、具备处理投入本项目核心设备故障、防止检验室或样本污染的能力。有完整的对突发事件、安全事故处理的方案。建立相应质量控制制度，制定相应的质量管理手册（或制度）等相关内容。</w:t>
      </w:r>
    </w:p>
    <w:p w14:paraId="38AB1B0B">
      <w:pPr>
        <w:pStyle w:val="2"/>
        <w:rPr>
          <w:rFonts w:hint="default"/>
          <w:sz w:val="24"/>
          <w:szCs w:val="24"/>
        </w:rPr>
      </w:pPr>
      <w:r>
        <w:rPr>
          <w:rFonts w:hint="eastAsia" w:ascii="Calibri" w:hAnsi="Calibri" w:eastAsia="宋体" w:cs="Times New Roman"/>
          <w:b/>
          <w:bCs/>
          <w:color w:val="auto"/>
          <w:kern w:val="2"/>
          <w:sz w:val="24"/>
          <w:szCs w:val="24"/>
          <w:lang w:val="en-US" w:eastAsia="zh-CN" w:bidi="ar-SA"/>
        </w:rPr>
        <w:t>（八）履约验收方案（请供应商提供相关方案）</w:t>
      </w:r>
    </w:p>
    <w:p w14:paraId="57C6AD40">
      <w:pPr>
        <w:spacing w:line="360" w:lineRule="auto"/>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四、</w:t>
      </w:r>
      <w:r>
        <w:rPr>
          <w:rFonts w:hint="default" w:ascii="Times New Roman" w:hAnsi="Times New Roman" w:eastAsia="宋体" w:cs="Times New Roman"/>
          <w:b/>
          <w:bCs/>
          <w:sz w:val="24"/>
          <w:szCs w:val="24"/>
        </w:rPr>
        <w:t>供应商完成同类采购项目历史成交信息</w:t>
      </w:r>
    </w:p>
    <w:p w14:paraId="5D87E4C0">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投标实验室是否可提供与本项目相关的近三年具有为不同地区或机构提供服务的项目业绩。需提供合同关键页（含签订合同双方的单位名称、合同项目名称与含签订合同双方的落款盖章、签订日期的关键页）复印件并加盖投标人公章作为证明材料。</w:t>
      </w:r>
    </w:p>
    <w:p w14:paraId="744C53A9">
      <w:pPr>
        <w:spacing w:line="360" w:lineRule="auto"/>
        <w:ind w:firstLine="420" w:firstLineChars="200"/>
        <w:rPr>
          <w:rFonts w:hint="default" w:ascii="Times New Roman" w:hAnsi="Times New Roman" w:eastAsia="宋体" w:cs="Times New Roman"/>
          <w:i/>
          <w:iCs/>
          <w:sz w:val="21"/>
          <w:szCs w:val="21"/>
        </w:rPr>
      </w:pPr>
      <w:r>
        <w:rPr>
          <w:rFonts w:hint="default" w:ascii="Times New Roman" w:hAnsi="Times New Roman" w:eastAsia="宋体" w:cs="Times New Roman"/>
          <w:sz w:val="21"/>
          <w:szCs w:val="21"/>
        </w:rPr>
        <w:t>附表</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同类采购项目历史成交信息</w:t>
      </w:r>
      <w:r>
        <w:rPr>
          <w:rFonts w:hint="default" w:ascii="Times New Roman" w:hAnsi="Times New Roman" w:eastAsia="宋体" w:cs="Times New Roman"/>
          <w:i/>
          <w:iCs/>
          <w:sz w:val="21"/>
          <w:szCs w:val="21"/>
        </w:rPr>
        <w:t>（调查应当选择真实、有效的信息，信息来源应当有依据且符合当前市场实际情况，不得随意编造。）</w:t>
      </w:r>
    </w:p>
    <w:tbl>
      <w:tblPr>
        <w:tblStyle w:val="5"/>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764"/>
        <w:gridCol w:w="1062"/>
        <w:gridCol w:w="1004"/>
        <w:gridCol w:w="991"/>
        <w:gridCol w:w="877"/>
        <w:gridCol w:w="878"/>
        <w:gridCol w:w="1033"/>
        <w:gridCol w:w="851"/>
        <w:gridCol w:w="1065"/>
      </w:tblGrid>
      <w:tr w14:paraId="23C4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51" w:type="dxa"/>
            <w:vAlign w:val="center"/>
          </w:tcPr>
          <w:p w14:paraId="2F327068">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序号</w:t>
            </w:r>
          </w:p>
        </w:tc>
        <w:tc>
          <w:tcPr>
            <w:tcW w:w="764" w:type="dxa"/>
            <w:vAlign w:val="center"/>
          </w:tcPr>
          <w:p w14:paraId="3D0F22EB">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采购人</w:t>
            </w:r>
          </w:p>
        </w:tc>
        <w:tc>
          <w:tcPr>
            <w:tcW w:w="1062" w:type="dxa"/>
            <w:vAlign w:val="center"/>
          </w:tcPr>
          <w:p w14:paraId="08BB62BF">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项目名称</w:t>
            </w:r>
          </w:p>
        </w:tc>
        <w:tc>
          <w:tcPr>
            <w:tcW w:w="1004" w:type="dxa"/>
            <w:vAlign w:val="center"/>
          </w:tcPr>
          <w:p w14:paraId="17C7F6E8">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项目预算</w:t>
            </w:r>
          </w:p>
        </w:tc>
        <w:tc>
          <w:tcPr>
            <w:tcW w:w="991" w:type="dxa"/>
            <w:vAlign w:val="center"/>
          </w:tcPr>
          <w:p w14:paraId="6D57DAA0">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合同金额</w:t>
            </w:r>
          </w:p>
        </w:tc>
        <w:tc>
          <w:tcPr>
            <w:tcW w:w="877" w:type="dxa"/>
            <w:vAlign w:val="center"/>
          </w:tcPr>
          <w:p w14:paraId="5E6B1CBE">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中标人</w:t>
            </w:r>
          </w:p>
        </w:tc>
        <w:tc>
          <w:tcPr>
            <w:tcW w:w="878" w:type="dxa"/>
            <w:vAlign w:val="center"/>
          </w:tcPr>
          <w:p w14:paraId="4E3A7F29">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中标价</w:t>
            </w:r>
          </w:p>
        </w:tc>
        <w:tc>
          <w:tcPr>
            <w:tcW w:w="1033" w:type="dxa"/>
            <w:vAlign w:val="center"/>
          </w:tcPr>
          <w:p w14:paraId="352D3571">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中标时间</w:t>
            </w:r>
          </w:p>
        </w:tc>
        <w:tc>
          <w:tcPr>
            <w:tcW w:w="851" w:type="dxa"/>
            <w:vAlign w:val="center"/>
          </w:tcPr>
          <w:p w14:paraId="2267F8F5">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证明人</w:t>
            </w:r>
          </w:p>
        </w:tc>
        <w:tc>
          <w:tcPr>
            <w:tcW w:w="1065" w:type="dxa"/>
            <w:vAlign w:val="center"/>
          </w:tcPr>
          <w:p w14:paraId="09C69EBB">
            <w:pPr>
              <w:spacing w:line="360" w:lineRule="auto"/>
              <w:jc w:val="both"/>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联系电话</w:t>
            </w:r>
          </w:p>
        </w:tc>
      </w:tr>
      <w:tr w14:paraId="008C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51" w:type="dxa"/>
            <w:vAlign w:val="center"/>
          </w:tcPr>
          <w:p w14:paraId="377CBF3B">
            <w:pPr>
              <w:spacing w:line="360" w:lineRule="auto"/>
              <w:jc w:val="both"/>
              <w:rPr>
                <w:rFonts w:hint="default" w:ascii="Times New Roman" w:hAnsi="Times New Roman" w:eastAsia="宋体" w:cs="Times New Roman"/>
                <w:sz w:val="21"/>
                <w:szCs w:val="21"/>
              </w:rPr>
            </w:pPr>
          </w:p>
        </w:tc>
        <w:tc>
          <w:tcPr>
            <w:tcW w:w="764" w:type="dxa"/>
            <w:vAlign w:val="center"/>
          </w:tcPr>
          <w:p w14:paraId="47C0FC72">
            <w:pPr>
              <w:spacing w:line="360" w:lineRule="auto"/>
              <w:jc w:val="both"/>
              <w:rPr>
                <w:rFonts w:hint="default" w:ascii="Times New Roman" w:hAnsi="Times New Roman" w:eastAsia="宋体" w:cs="Times New Roman"/>
                <w:sz w:val="21"/>
                <w:szCs w:val="21"/>
              </w:rPr>
            </w:pPr>
          </w:p>
        </w:tc>
        <w:tc>
          <w:tcPr>
            <w:tcW w:w="1062" w:type="dxa"/>
            <w:vAlign w:val="center"/>
          </w:tcPr>
          <w:p w14:paraId="51A17C3A">
            <w:pPr>
              <w:spacing w:line="360" w:lineRule="auto"/>
              <w:jc w:val="both"/>
              <w:rPr>
                <w:rFonts w:hint="default" w:ascii="Times New Roman" w:hAnsi="Times New Roman" w:eastAsia="宋体" w:cs="Times New Roman"/>
                <w:sz w:val="21"/>
                <w:szCs w:val="21"/>
              </w:rPr>
            </w:pPr>
          </w:p>
        </w:tc>
        <w:tc>
          <w:tcPr>
            <w:tcW w:w="1004" w:type="dxa"/>
            <w:vAlign w:val="center"/>
          </w:tcPr>
          <w:p w14:paraId="3B279C9B">
            <w:pPr>
              <w:spacing w:line="360" w:lineRule="auto"/>
              <w:jc w:val="both"/>
              <w:rPr>
                <w:rFonts w:hint="default" w:ascii="Times New Roman" w:hAnsi="Times New Roman" w:eastAsia="宋体" w:cs="Times New Roman"/>
                <w:sz w:val="21"/>
                <w:szCs w:val="21"/>
              </w:rPr>
            </w:pPr>
          </w:p>
        </w:tc>
        <w:tc>
          <w:tcPr>
            <w:tcW w:w="991" w:type="dxa"/>
            <w:vAlign w:val="center"/>
          </w:tcPr>
          <w:p w14:paraId="79AFB07C">
            <w:pPr>
              <w:spacing w:line="360" w:lineRule="auto"/>
              <w:jc w:val="both"/>
              <w:rPr>
                <w:rFonts w:hint="default" w:ascii="Times New Roman" w:hAnsi="Times New Roman" w:eastAsia="宋体" w:cs="Times New Roman"/>
                <w:sz w:val="21"/>
                <w:szCs w:val="21"/>
              </w:rPr>
            </w:pPr>
          </w:p>
        </w:tc>
        <w:tc>
          <w:tcPr>
            <w:tcW w:w="877" w:type="dxa"/>
            <w:vAlign w:val="center"/>
          </w:tcPr>
          <w:p w14:paraId="64127E81">
            <w:pPr>
              <w:spacing w:line="360" w:lineRule="auto"/>
              <w:jc w:val="both"/>
              <w:rPr>
                <w:rFonts w:hint="default" w:ascii="Times New Roman" w:hAnsi="Times New Roman" w:eastAsia="宋体" w:cs="Times New Roman"/>
                <w:sz w:val="21"/>
                <w:szCs w:val="21"/>
              </w:rPr>
            </w:pPr>
          </w:p>
        </w:tc>
        <w:tc>
          <w:tcPr>
            <w:tcW w:w="878" w:type="dxa"/>
            <w:vAlign w:val="center"/>
          </w:tcPr>
          <w:p w14:paraId="348C05A3">
            <w:pPr>
              <w:spacing w:line="360" w:lineRule="auto"/>
              <w:jc w:val="both"/>
              <w:rPr>
                <w:rFonts w:hint="default" w:ascii="Times New Roman" w:hAnsi="Times New Roman" w:eastAsia="宋体" w:cs="Times New Roman"/>
                <w:sz w:val="21"/>
                <w:szCs w:val="21"/>
              </w:rPr>
            </w:pPr>
          </w:p>
        </w:tc>
        <w:tc>
          <w:tcPr>
            <w:tcW w:w="1033" w:type="dxa"/>
            <w:vAlign w:val="center"/>
          </w:tcPr>
          <w:p w14:paraId="7AC111D5">
            <w:pPr>
              <w:spacing w:line="360" w:lineRule="auto"/>
              <w:jc w:val="both"/>
              <w:rPr>
                <w:rFonts w:hint="default" w:ascii="Times New Roman" w:hAnsi="Times New Roman" w:eastAsia="宋体" w:cs="Times New Roman"/>
                <w:sz w:val="21"/>
                <w:szCs w:val="21"/>
              </w:rPr>
            </w:pPr>
          </w:p>
        </w:tc>
        <w:tc>
          <w:tcPr>
            <w:tcW w:w="851" w:type="dxa"/>
            <w:vAlign w:val="center"/>
          </w:tcPr>
          <w:p w14:paraId="5BD60D7E">
            <w:pPr>
              <w:spacing w:line="360" w:lineRule="auto"/>
              <w:jc w:val="both"/>
              <w:rPr>
                <w:rFonts w:hint="default" w:ascii="Times New Roman" w:hAnsi="Times New Roman" w:eastAsia="宋体" w:cs="Times New Roman"/>
                <w:sz w:val="21"/>
                <w:szCs w:val="21"/>
              </w:rPr>
            </w:pPr>
          </w:p>
        </w:tc>
        <w:tc>
          <w:tcPr>
            <w:tcW w:w="1065" w:type="dxa"/>
            <w:vAlign w:val="center"/>
          </w:tcPr>
          <w:p w14:paraId="3DD07104">
            <w:pPr>
              <w:spacing w:line="360" w:lineRule="auto"/>
              <w:jc w:val="both"/>
              <w:rPr>
                <w:rFonts w:hint="default" w:ascii="Times New Roman" w:hAnsi="Times New Roman" w:eastAsia="宋体" w:cs="Times New Roman"/>
                <w:sz w:val="21"/>
                <w:szCs w:val="21"/>
              </w:rPr>
            </w:pPr>
          </w:p>
        </w:tc>
      </w:tr>
      <w:tr w14:paraId="02F6B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51" w:type="dxa"/>
            <w:vAlign w:val="center"/>
          </w:tcPr>
          <w:p w14:paraId="29872A65">
            <w:pPr>
              <w:spacing w:line="360" w:lineRule="auto"/>
              <w:jc w:val="both"/>
              <w:rPr>
                <w:rFonts w:hint="default" w:ascii="Times New Roman" w:hAnsi="Times New Roman" w:eastAsia="宋体" w:cs="Times New Roman"/>
                <w:sz w:val="21"/>
                <w:szCs w:val="21"/>
              </w:rPr>
            </w:pPr>
          </w:p>
        </w:tc>
        <w:tc>
          <w:tcPr>
            <w:tcW w:w="764" w:type="dxa"/>
            <w:vAlign w:val="center"/>
          </w:tcPr>
          <w:p w14:paraId="417220EF">
            <w:pPr>
              <w:spacing w:line="360" w:lineRule="auto"/>
              <w:jc w:val="both"/>
              <w:rPr>
                <w:rFonts w:hint="default" w:ascii="Times New Roman" w:hAnsi="Times New Roman" w:eastAsia="宋体" w:cs="Times New Roman"/>
                <w:sz w:val="21"/>
                <w:szCs w:val="21"/>
              </w:rPr>
            </w:pPr>
          </w:p>
        </w:tc>
        <w:tc>
          <w:tcPr>
            <w:tcW w:w="1062" w:type="dxa"/>
            <w:vAlign w:val="center"/>
          </w:tcPr>
          <w:p w14:paraId="526657AA">
            <w:pPr>
              <w:spacing w:line="360" w:lineRule="auto"/>
              <w:jc w:val="both"/>
              <w:rPr>
                <w:rFonts w:hint="default" w:ascii="Times New Roman" w:hAnsi="Times New Roman" w:eastAsia="宋体" w:cs="Times New Roman"/>
                <w:sz w:val="21"/>
                <w:szCs w:val="21"/>
              </w:rPr>
            </w:pPr>
          </w:p>
        </w:tc>
        <w:tc>
          <w:tcPr>
            <w:tcW w:w="1004" w:type="dxa"/>
            <w:vAlign w:val="center"/>
          </w:tcPr>
          <w:p w14:paraId="3B3DE708">
            <w:pPr>
              <w:spacing w:line="360" w:lineRule="auto"/>
              <w:jc w:val="both"/>
              <w:rPr>
                <w:rFonts w:hint="default" w:ascii="Times New Roman" w:hAnsi="Times New Roman" w:eastAsia="宋体" w:cs="Times New Roman"/>
                <w:sz w:val="21"/>
                <w:szCs w:val="21"/>
              </w:rPr>
            </w:pPr>
          </w:p>
        </w:tc>
        <w:tc>
          <w:tcPr>
            <w:tcW w:w="991" w:type="dxa"/>
            <w:vAlign w:val="center"/>
          </w:tcPr>
          <w:p w14:paraId="50D4E251">
            <w:pPr>
              <w:spacing w:line="360" w:lineRule="auto"/>
              <w:jc w:val="both"/>
              <w:rPr>
                <w:rFonts w:hint="default" w:ascii="Times New Roman" w:hAnsi="Times New Roman" w:eastAsia="宋体" w:cs="Times New Roman"/>
                <w:sz w:val="21"/>
                <w:szCs w:val="21"/>
              </w:rPr>
            </w:pPr>
          </w:p>
        </w:tc>
        <w:tc>
          <w:tcPr>
            <w:tcW w:w="877" w:type="dxa"/>
            <w:vAlign w:val="center"/>
          </w:tcPr>
          <w:p w14:paraId="11FB110D">
            <w:pPr>
              <w:spacing w:line="360" w:lineRule="auto"/>
              <w:jc w:val="both"/>
              <w:rPr>
                <w:rFonts w:hint="default" w:ascii="Times New Roman" w:hAnsi="Times New Roman" w:eastAsia="宋体" w:cs="Times New Roman"/>
                <w:sz w:val="21"/>
                <w:szCs w:val="21"/>
              </w:rPr>
            </w:pPr>
          </w:p>
        </w:tc>
        <w:tc>
          <w:tcPr>
            <w:tcW w:w="878" w:type="dxa"/>
            <w:vAlign w:val="center"/>
          </w:tcPr>
          <w:p w14:paraId="67C9C81B">
            <w:pPr>
              <w:spacing w:line="360" w:lineRule="auto"/>
              <w:jc w:val="both"/>
              <w:rPr>
                <w:rFonts w:hint="default" w:ascii="Times New Roman" w:hAnsi="Times New Roman" w:eastAsia="宋体" w:cs="Times New Roman"/>
                <w:sz w:val="21"/>
                <w:szCs w:val="21"/>
              </w:rPr>
            </w:pPr>
          </w:p>
        </w:tc>
        <w:tc>
          <w:tcPr>
            <w:tcW w:w="1033" w:type="dxa"/>
            <w:vAlign w:val="center"/>
          </w:tcPr>
          <w:p w14:paraId="430EB057">
            <w:pPr>
              <w:spacing w:line="360" w:lineRule="auto"/>
              <w:jc w:val="both"/>
              <w:rPr>
                <w:rFonts w:hint="default" w:ascii="Times New Roman" w:hAnsi="Times New Roman" w:eastAsia="宋体" w:cs="Times New Roman"/>
                <w:sz w:val="21"/>
                <w:szCs w:val="21"/>
              </w:rPr>
            </w:pPr>
          </w:p>
        </w:tc>
        <w:tc>
          <w:tcPr>
            <w:tcW w:w="851" w:type="dxa"/>
            <w:vAlign w:val="center"/>
          </w:tcPr>
          <w:p w14:paraId="258FCF1A">
            <w:pPr>
              <w:spacing w:line="360" w:lineRule="auto"/>
              <w:jc w:val="both"/>
              <w:rPr>
                <w:rFonts w:hint="default" w:ascii="Times New Roman" w:hAnsi="Times New Roman" w:eastAsia="宋体" w:cs="Times New Roman"/>
                <w:sz w:val="21"/>
                <w:szCs w:val="21"/>
              </w:rPr>
            </w:pPr>
          </w:p>
        </w:tc>
        <w:tc>
          <w:tcPr>
            <w:tcW w:w="1065" w:type="dxa"/>
            <w:vAlign w:val="center"/>
          </w:tcPr>
          <w:p w14:paraId="1908D597">
            <w:pPr>
              <w:spacing w:line="360" w:lineRule="auto"/>
              <w:jc w:val="both"/>
              <w:rPr>
                <w:rFonts w:hint="default" w:ascii="Times New Roman" w:hAnsi="Times New Roman" w:eastAsia="宋体" w:cs="Times New Roman"/>
                <w:sz w:val="21"/>
                <w:szCs w:val="21"/>
              </w:rPr>
            </w:pPr>
          </w:p>
        </w:tc>
      </w:tr>
      <w:tr w14:paraId="67C3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1" w:type="dxa"/>
            <w:vAlign w:val="center"/>
          </w:tcPr>
          <w:p w14:paraId="4ED94111">
            <w:pPr>
              <w:spacing w:line="360" w:lineRule="auto"/>
              <w:jc w:val="both"/>
              <w:rPr>
                <w:rFonts w:hint="default" w:ascii="Times New Roman" w:hAnsi="Times New Roman" w:eastAsia="宋体" w:cs="Times New Roman"/>
                <w:sz w:val="21"/>
                <w:szCs w:val="21"/>
              </w:rPr>
            </w:pPr>
          </w:p>
        </w:tc>
        <w:tc>
          <w:tcPr>
            <w:tcW w:w="764" w:type="dxa"/>
            <w:vAlign w:val="center"/>
          </w:tcPr>
          <w:p w14:paraId="7FA2015D">
            <w:pPr>
              <w:spacing w:line="360" w:lineRule="auto"/>
              <w:jc w:val="both"/>
              <w:rPr>
                <w:rFonts w:hint="default" w:ascii="Times New Roman" w:hAnsi="Times New Roman" w:eastAsia="宋体" w:cs="Times New Roman"/>
                <w:sz w:val="21"/>
                <w:szCs w:val="21"/>
              </w:rPr>
            </w:pPr>
          </w:p>
        </w:tc>
        <w:tc>
          <w:tcPr>
            <w:tcW w:w="1062" w:type="dxa"/>
            <w:vAlign w:val="center"/>
          </w:tcPr>
          <w:p w14:paraId="051B5BFA">
            <w:pPr>
              <w:spacing w:line="360" w:lineRule="auto"/>
              <w:jc w:val="both"/>
              <w:rPr>
                <w:rFonts w:hint="default" w:ascii="Times New Roman" w:hAnsi="Times New Roman" w:eastAsia="宋体" w:cs="Times New Roman"/>
                <w:sz w:val="21"/>
                <w:szCs w:val="21"/>
              </w:rPr>
            </w:pPr>
          </w:p>
        </w:tc>
        <w:tc>
          <w:tcPr>
            <w:tcW w:w="1004" w:type="dxa"/>
            <w:vAlign w:val="center"/>
          </w:tcPr>
          <w:p w14:paraId="05A43DCC">
            <w:pPr>
              <w:spacing w:line="360" w:lineRule="auto"/>
              <w:jc w:val="both"/>
              <w:rPr>
                <w:rFonts w:hint="default" w:ascii="Times New Roman" w:hAnsi="Times New Roman" w:eastAsia="宋体" w:cs="Times New Roman"/>
                <w:sz w:val="21"/>
                <w:szCs w:val="21"/>
              </w:rPr>
            </w:pPr>
          </w:p>
        </w:tc>
        <w:tc>
          <w:tcPr>
            <w:tcW w:w="991" w:type="dxa"/>
            <w:vAlign w:val="center"/>
          </w:tcPr>
          <w:p w14:paraId="08E36286">
            <w:pPr>
              <w:spacing w:line="360" w:lineRule="auto"/>
              <w:jc w:val="both"/>
              <w:rPr>
                <w:rFonts w:hint="default" w:ascii="Times New Roman" w:hAnsi="Times New Roman" w:eastAsia="宋体" w:cs="Times New Roman"/>
                <w:sz w:val="21"/>
                <w:szCs w:val="21"/>
              </w:rPr>
            </w:pPr>
          </w:p>
        </w:tc>
        <w:tc>
          <w:tcPr>
            <w:tcW w:w="877" w:type="dxa"/>
            <w:vAlign w:val="center"/>
          </w:tcPr>
          <w:p w14:paraId="164776FD">
            <w:pPr>
              <w:spacing w:line="360" w:lineRule="auto"/>
              <w:jc w:val="both"/>
              <w:rPr>
                <w:rFonts w:hint="default" w:ascii="Times New Roman" w:hAnsi="Times New Roman" w:eastAsia="宋体" w:cs="Times New Roman"/>
                <w:sz w:val="21"/>
                <w:szCs w:val="21"/>
              </w:rPr>
            </w:pPr>
          </w:p>
        </w:tc>
        <w:tc>
          <w:tcPr>
            <w:tcW w:w="878" w:type="dxa"/>
            <w:vAlign w:val="center"/>
          </w:tcPr>
          <w:p w14:paraId="4EAC8640">
            <w:pPr>
              <w:spacing w:line="360" w:lineRule="auto"/>
              <w:jc w:val="both"/>
              <w:rPr>
                <w:rFonts w:hint="default" w:ascii="Times New Roman" w:hAnsi="Times New Roman" w:eastAsia="宋体" w:cs="Times New Roman"/>
                <w:sz w:val="21"/>
                <w:szCs w:val="21"/>
              </w:rPr>
            </w:pPr>
          </w:p>
        </w:tc>
        <w:tc>
          <w:tcPr>
            <w:tcW w:w="1033" w:type="dxa"/>
            <w:vAlign w:val="center"/>
          </w:tcPr>
          <w:p w14:paraId="4BA723E2">
            <w:pPr>
              <w:spacing w:line="360" w:lineRule="auto"/>
              <w:jc w:val="both"/>
              <w:rPr>
                <w:rFonts w:hint="default" w:ascii="Times New Roman" w:hAnsi="Times New Roman" w:eastAsia="宋体" w:cs="Times New Roman"/>
                <w:sz w:val="21"/>
                <w:szCs w:val="21"/>
              </w:rPr>
            </w:pPr>
          </w:p>
        </w:tc>
        <w:tc>
          <w:tcPr>
            <w:tcW w:w="851" w:type="dxa"/>
            <w:vAlign w:val="center"/>
          </w:tcPr>
          <w:p w14:paraId="66187EC0">
            <w:pPr>
              <w:spacing w:line="360" w:lineRule="auto"/>
              <w:jc w:val="both"/>
              <w:rPr>
                <w:rFonts w:hint="default" w:ascii="Times New Roman" w:hAnsi="Times New Roman" w:eastAsia="宋体" w:cs="Times New Roman"/>
                <w:sz w:val="21"/>
                <w:szCs w:val="21"/>
              </w:rPr>
            </w:pPr>
          </w:p>
        </w:tc>
        <w:tc>
          <w:tcPr>
            <w:tcW w:w="1065" w:type="dxa"/>
            <w:vAlign w:val="center"/>
          </w:tcPr>
          <w:p w14:paraId="54C369EF">
            <w:pPr>
              <w:spacing w:line="360" w:lineRule="auto"/>
              <w:jc w:val="both"/>
              <w:rPr>
                <w:rFonts w:hint="default" w:ascii="Times New Roman" w:hAnsi="Times New Roman" w:eastAsia="宋体" w:cs="Times New Roman"/>
                <w:sz w:val="21"/>
                <w:szCs w:val="21"/>
              </w:rPr>
            </w:pPr>
          </w:p>
        </w:tc>
      </w:tr>
    </w:tbl>
    <w:p w14:paraId="341B5B50">
      <w:pPr>
        <w:spacing w:line="360" w:lineRule="auto"/>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val="en-US" w:eastAsia="zh-CN"/>
        </w:rPr>
        <w:t>五、</w:t>
      </w:r>
      <w:r>
        <w:rPr>
          <w:rFonts w:hint="default" w:ascii="Times New Roman" w:hAnsi="Times New Roman" w:eastAsia="宋体" w:cs="Times New Roman"/>
          <w:b/>
          <w:bCs/>
          <w:sz w:val="24"/>
          <w:szCs w:val="24"/>
        </w:rPr>
        <w:t>报价要求</w:t>
      </w:r>
    </w:p>
    <w:p w14:paraId="188ACB61">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1.根据本中心以往数据预估本项目采购量约2</w:t>
      </w:r>
      <w:r>
        <w:rPr>
          <w:rFonts w:hint="eastAsia" w:ascii="Times New Roman" w:hAnsi="Times New Roman" w:cs="Times New Roman"/>
          <w:sz w:val="21"/>
          <w:szCs w:val="21"/>
          <w:lang w:val="en-US" w:eastAsia="zh-CN"/>
        </w:rPr>
        <w:t>700</w:t>
      </w:r>
      <w:bookmarkStart w:id="1" w:name="_GoBack"/>
      <w:bookmarkEnd w:id="1"/>
      <w:r>
        <w:rPr>
          <w:rFonts w:hint="default" w:ascii="Times New Roman" w:hAnsi="Times New Roman" w:eastAsia="宋体" w:cs="Times New Roman"/>
          <w:sz w:val="21"/>
          <w:szCs w:val="21"/>
        </w:rPr>
        <w:t>万/年，合同期三年，本项目服务的总数量为预估，以合同期内实际采购量为准，采购人不保证最低采购数量。</w:t>
      </w:r>
    </w:p>
    <w:p w14:paraId="1FA90E60">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投标报价包括但不限于：完成本次招标所有服务内容的费用，包括人工费、检测费、材料费、设备使用费、系统接口费、项目宣传费、物流运输费、采样耗材费、各种税务费及合同实施过程中不可预见费用等全部费用。</w:t>
      </w:r>
    </w:p>
    <w:p w14:paraId="33992CF4">
      <w:pPr>
        <w:spacing w:line="360" w:lineRule="auto"/>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3.请投标人就</w:t>
      </w:r>
      <w:r>
        <w:rPr>
          <w:rFonts w:hint="eastAsia" w:ascii="Times New Roman" w:hAnsi="Times New Roman" w:cs="Times New Roman"/>
          <w:sz w:val="21"/>
          <w:szCs w:val="21"/>
          <w:lang w:val="en-US" w:eastAsia="zh-CN"/>
        </w:rPr>
        <w:t>包1</w:t>
      </w:r>
      <w:r>
        <w:rPr>
          <w:rFonts w:hint="default" w:ascii="Times New Roman" w:hAnsi="Times New Roman" w:eastAsia="宋体" w:cs="Times New Roman"/>
          <w:sz w:val="21"/>
          <w:szCs w:val="21"/>
        </w:rPr>
        <w:t>提供的检测项目列表进行报价（</w:t>
      </w:r>
      <w:r>
        <w:rPr>
          <w:rFonts w:hint="eastAsia" w:ascii="Times New Roman" w:hAnsi="Times New Roman" w:cs="Times New Roman"/>
          <w:sz w:val="21"/>
          <w:szCs w:val="21"/>
          <w:lang w:eastAsia="zh-CN"/>
        </w:rPr>
        <w:t>投标折扣率报价不能为负数或零</w:t>
      </w:r>
      <w:r>
        <w:rPr>
          <w:rFonts w:hint="default" w:ascii="Times New Roman" w:hAnsi="Times New Roman" w:eastAsia="宋体" w:cs="Times New Roman"/>
          <w:sz w:val="21"/>
          <w:szCs w:val="21"/>
        </w:rPr>
        <w:t>）。</w:t>
      </w:r>
    </w:p>
    <w:sectPr>
      <w:pgSz w:w="11906" w:h="16838"/>
      <w:pgMar w:top="1440" w:right="1797" w:bottom="1440" w:left="1797"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F43FF"/>
    <w:multiLevelType w:val="multilevel"/>
    <w:tmpl w:val="2B8F43FF"/>
    <w:lvl w:ilvl="0" w:tentative="0">
      <w:start w:val="3"/>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95A6527"/>
    <w:rsid w:val="00016FC4"/>
    <w:rsid w:val="000C64EA"/>
    <w:rsid w:val="000F12E6"/>
    <w:rsid w:val="00200B1B"/>
    <w:rsid w:val="00293E41"/>
    <w:rsid w:val="00305CE7"/>
    <w:rsid w:val="00625089"/>
    <w:rsid w:val="0068702E"/>
    <w:rsid w:val="006C6650"/>
    <w:rsid w:val="007179F8"/>
    <w:rsid w:val="007213F4"/>
    <w:rsid w:val="007C0F2D"/>
    <w:rsid w:val="00AF23BD"/>
    <w:rsid w:val="00CA7147"/>
    <w:rsid w:val="00D24AC4"/>
    <w:rsid w:val="00D53415"/>
    <w:rsid w:val="00EC5822"/>
    <w:rsid w:val="00FC4C0A"/>
    <w:rsid w:val="00FC6D81"/>
    <w:rsid w:val="00FF39D0"/>
    <w:rsid w:val="012D66CB"/>
    <w:rsid w:val="01523018"/>
    <w:rsid w:val="030D0562"/>
    <w:rsid w:val="03F43E86"/>
    <w:rsid w:val="04170DA0"/>
    <w:rsid w:val="04B2398B"/>
    <w:rsid w:val="050F542E"/>
    <w:rsid w:val="05147822"/>
    <w:rsid w:val="05A277B6"/>
    <w:rsid w:val="061834A6"/>
    <w:rsid w:val="06AC0092"/>
    <w:rsid w:val="07965CAB"/>
    <w:rsid w:val="07F817E1"/>
    <w:rsid w:val="095A6527"/>
    <w:rsid w:val="096B722E"/>
    <w:rsid w:val="0994433E"/>
    <w:rsid w:val="0B6251C3"/>
    <w:rsid w:val="0C1B3109"/>
    <w:rsid w:val="0D3A63F7"/>
    <w:rsid w:val="0F02540D"/>
    <w:rsid w:val="10BE7687"/>
    <w:rsid w:val="10FB5D6E"/>
    <w:rsid w:val="11A63802"/>
    <w:rsid w:val="12940358"/>
    <w:rsid w:val="12993CD3"/>
    <w:rsid w:val="12D9220E"/>
    <w:rsid w:val="13BC7845"/>
    <w:rsid w:val="143C2A55"/>
    <w:rsid w:val="14776934"/>
    <w:rsid w:val="16467BBB"/>
    <w:rsid w:val="164B64AB"/>
    <w:rsid w:val="16D67FAF"/>
    <w:rsid w:val="178A1F00"/>
    <w:rsid w:val="17A77336"/>
    <w:rsid w:val="189B583A"/>
    <w:rsid w:val="19F93084"/>
    <w:rsid w:val="1A1E58E2"/>
    <w:rsid w:val="1AFF658A"/>
    <w:rsid w:val="1BA76795"/>
    <w:rsid w:val="1BC577D4"/>
    <w:rsid w:val="1C2932F0"/>
    <w:rsid w:val="1C3A658A"/>
    <w:rsid w:val="1D2C098E"/>
    <w:rsid w:val="1D2D73DF"/>
    <w:rsid w:val="1D8568B1"/>
    <w:rsid w:val="20A577C3"/>
    <w:rsid w:val="212E2A77"/>
    <w:rsid w:val="215A276C"/>
    <w:rsid w:val="21B76D44"/>
    <w:rsid w:val="22F34B5D"/>
    <w:rsid w:val="23812740"/>
    <w:rsid w:val="23B7025B"/>
    <w:rsid w:val="265F25D3"/>
    <w:rsid w:val="27606603"/>
    <w:rsid w:val="27F63F1D"/>
    <w:rsid w:val="29656152"/>
    <w:rsid w:val="2B856638"/>
    <w:rsid w:val="2B980F11"/>
    <w:rsid w:val="2CF11644"/>
    <w:rsid w:val="2CFB18D4"/>
    <w:rsid w:val="2D6A01DB"/>
    <w:rsid w:val="2E165C6D"/>
    <w:rsid w:val="303A20E7"/>
    <w:rsid w:val="30455A79"/>
    <w:rsid w:val="317F3B29"/>
    <w:rsid w:val="31BE0AF5"/>
    <w:rsid w:val="31CA1248"/>
    <w:rsid w:val="32AC3479"/>
    <w:rsid w:val="33DC0380"/>
    <w:rsid w:val="34F12F90"/>
    <w:rsid w:val="35487054"/>
    <w:rsid w:val="369A1D52"/>
    <w:rsid w:val="36CA5847"/>
    <w:rsid w:val="384004B6"/>
    <w:rsid w:val="393F42CA"/>
    <w:rsid w:val="3A4C0835"/>
    <w:rsid w:val="3A837FA0"/>
    <w:rsid w:val="3A960861"/>
    <w:rsid w:val="3AB17449"/>
    <w:rsid w:val="3B553953"/>
    <w:rsid w:val="3CE81A7C"/>
    <w:rsid w:val="3CF73AAE"/>
    <w:rsid w:val="3D807088"/>
    <w:rsid w:val="3DAC1658"/>
    <w:rsid w:val="3DF24001"/>
    <w:rsid w:val="3EF215A4"/>
    <w:rsid w:val="41A27AEC"/>
    <w:rsid w:val="430766D3"/>
    <w:rsid w:val="43EC2053"/>
    <w:rsid w:val="44290050"/>
    <w:rsid w:val="44EA73A3"/>
    <w:rsid w:val="478C1F26"/>
    <w:rsid w:val="480C2163"/>
    <w:rsid w:val="49B605D8"/>
    <w:rsid w:val="4A3C3BAA"/>
    <w:rsid w:val="4BE331DB"/>
    <w:rsid w:val="4E4A5793"/>
    <w:rsid w:val="4EF840EF"/>
    <w:rsid w:val="4F9071D6"/>
    <w:rsid w:val="4FF004A6"/>
    <w:rsid w:val="508B20D6"/>
    <w:rsid w:val="508C2093"/>
    <w:rsid w:val="50D46582"/>
    <w:rsid w:val="51F31C9E"/>
    <w:rsid w:val="5264494A"/>
    <w:rsid w:val="52D1737D"/>
    <w:rsid w:val="52FE0E82"/>
    <w:rsid w:val="53346A1D"/>
    <w:rsid w:val="53BC267B"/>
    <w:rsid w:val="53E92E99"/>
    <w:rsid w:val="555F272B"/>
    <w:rsid w:val="558E3572"/>
    <w:rsid w:val="56226FF5"/>
    <w:rsid w:val="56633896"/>
    <w:rsid w:val="56B3737D"/>
    <w:rsid w:val="56B954B5"/>
    <w:rsid w:val="56D06A51"/>
    <w:rsid w:val="593939E0"/>
    <w:rsid w:val="599F0B96"/>
    <w:rsid w:val="59A91506"/>
    <w:rsid w:val="5A561C34"/>
    <w:rsid w:val="5ABA15AB"/>
    <w:rsid w:val="5ABA3CA0"/>
    <w:rsid w:val="5B1433B1"/>
    <w:rsid w:val="5C1631F6"/>
    <w:rsid w:val="5D195901"/>
    <w:rsid w:val="5D9D277A"/>
    <w:rsid w:val="5E197573"/>
    <w:rsid w:val="5E84084D"/>
    <w:rsid w:val="5F7654A3"/>
    <w:rsid w:val="5F7E1B3E"/>
    <w:rsid w:val="5FE13A7D"/>
    <w:rsid w:val="5FE35B37"/>
    <w:rsid w:val="609A718E"/>
    <w:rsid w:val="60DD4059"/>
    <w:rsid w:val="61153971"/>
    <w:rsid w:val="63A26CFC"/>
    <w:rsid w:val="652131A2"/>
    <w:rsid w:val="65CB4F21"/>
    <w:rsid w:val="66CF3A7D"/>
    <w:rsid w:val="66D4057D"/>
    <w:rsid w:val="66E153D1"/>
    <w:rsid w:val="67D85784"/>
    <w:rsid w:val="67FC76A6"/>
    <w:rsid w:val="69674FF3"/>
    <w:rsid w:val="696C43B8"/>
    <w:rsid w:val="69DE55DD"/>
    <w:rsid w:val="6AE80377"/>
    <w:rsid w:val="6B6468D9"/>
    <w:rsid w:val="6CE11E08"/>
    <w:rsid w:val="6D4D6B50"/>
    <w:rsid w:val="6E4F6056"/>
    <w:rsid w:val="6EF70BC7"/>
    <w:rsid w:val="6FB6638D"/>
    <w:rsid w:val="70134132"/>
    <w:rsid w:val="7037271B"/>
    <w:rsid w:val="70A22DB5"/>
    <w:rsid w:val="70CC398E"/>
    <w:rsid w:val="70FE448F"/>
    <w:rsid w:val="710475CC"/>
    <w:rsid w:val="71AB7A47"/>
    <w:rsid w:val="71AD5A0B"/>
    <w:rsid w:val="72671BC0"/>
    <w:rsid w:val="726A6A4C"/>
    <w:rsid w:val="726D6CD9"/>
    <w:rsid w:val="72AC3973"/>
    <w:rsid w:val="72C559C2"/>
    <w:rsid w:val="7447478D"/>
    <w:rsid w:val="74624D35"/>
    <w:rsid w:val="754A06F9"/>
    <w:rsid w:val="762C4B04"/>
    <w:rsid w:val="768C7E47"/>
    <w:rsid w:val="785B21C7"/>
    <w:rsid w:val="787741D1"/>
    <w:rsid w:val="78941235"/>
    <w:rsid w:val="78A7438D"/>
    <w:rsid w:val="79F20909"/>
    <w:rsid w:val="7A277E63"/>
    <w:rsid w:val="7AA501EF"/>
    <w:rsid w:val="7AC8317E"/>
    <w:rsid w:val="7B022DCE"/>
    <w:rsid w:val="7C6D4277"/>
    <w:rsid w:val="7D0C3A90"/>
    <w:rsid w:val="7DE20C95"/>
    <w:rsid w:val="7DF64C92"/>
    <w:rsid w:val="7EC00FD6"/>
    <w:rsid w:val="7FC05B1E"/>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pPr>
    <w:rPr>
      <w:rFonts w:ascii="宋体" w:hAnsi="宋体" w:eastAsia="宋体" w:cs="宋体"/>
      <w:kern w:val="2"/>
      <w:sz w:val="21"/>
      <w:szCs w:val="21"/>
      <w:lang w:val="en-US" w:eastAsia="zh-CN" w:bidi="ar-SA"/>
    </w:rPr>
  </w:style>
  <w:style w:type="paragraph" w:styleId="2">
    <w:name w:val="heading 3"/>
    <w:basedOn w:val="1"/>
    <w:next w:val="1"/>
    <w:autoRedefine/>
    <w:qFormat/>
    <w:uiPriority w:val="0"/>
    <w:pPr>
      <w:keepNext/>
      <w:outlineLvl w:val="2"/>
    </w:p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style>
  <w:style w:type="table" w:styleId="5">
    <w:name w:val="Table Grid"/>
    <w:basedOn w:val="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annotation reference"/>
    <w:basedOn w:val="6"/>
    <w:autoRedefine/>
    <w:qFormat/>
    <w:uiPriority w:val="0"/>
    <w:rPr>
      <w:sz w:val="21"/>
      <w:szCs w:val="21"/>
    </w:rPr>
  </w:style>
  <w:style w:type="paragraph" w:styleId="8">
    <w:name w:val="List Paragraph"/>
    <w:basedOn w:val="1"/>
    <w:autoRedefine/>
    <w:unhideWhenUsed/>
    <w:qFormat/>
    <w:uiPriority w:val="99"/>
    <w:pPr>
      <w:ind w:firstLine="420" w:firstLineChars="200"/>
    </w:pPr>
  </w:style>
  <w:style w:type="paragraph" w:customStyle="1" w:styleId="9">
    <w:name w:val="Table Paragraph"/>
    <w:basedOn w:val="1"/>
    <w:autoRedefine/>
    <w:qFormat/>
    <w:uiPriority w:val="0"/>
    <w:pPr>
      <w:widowControl/>
      <w:spacing w:line="240" w:lineRule="auto"/>
    </w:pPr>
    <w:rPr>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3650</Words>
  <Characters>3993</Characters>
  <Lines>30</Lines>
  <Paragraphs>8</Paragraphs>
  <TotalTime>2833</TotalTime>
  <ScaleCrop>false</ScaleCrop>
  <LinksUpToDate>false</LinksUpToDate>
  <CharactersWithSpaces>4068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2022-02-18T01:14:00Z</dcterms:created>
  <dc:creator>TIAMO哟！</dc:creator>
  <cp:lastModifiedBy>A</cp:lastModifiedBy>
  <cp:lastPrinted>2024-01-11T11:14:00Z</cp:lastPrinted>
  <dcterms:modified xsi:type="dcterms:W3CDTF">2025-02-17T02:16:59Z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1F1497F7A8E943ADBCB1831AF5E80E79_13</vt:lpwstr>
  </property>
  <property fmtid="{D5CDD505-2E9C-101B-9397-08002B2CF9AE}" pid="4" name="KSOTemplateDocerSaveRecord">
    <vt:lpwstr>eyJoZGlkIjoiN2YzNjBkOTgyNWQ1YTMxYzM3MzMwNWFiODNmOWIzYWMiLCJ1c2VySWQiOiIyNzUzMjM1NzMifQ==</vt:lpwstr>
  </property>
</Properties>
</file>