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3CDF32">
      <w:pPr>
        <w:jc w:val="both"/>
        <w:rPr>
          <w:rFonts w:hint="eastAsia" w:ascii="宋体" w:hAnsi="宋体" w:eastAsia="宋体" w:cs="宋体"/>
          <w:b/>
          <w:bCs/>
          <w:sz w:val="21"/>
          <w:szCs w:val="21"/>
          <w:lang w:eastAsia="zh-CN"/>
        </w:rPr>
      </w:pPr>
      <w:bookmarkStart w:id="1" w:name="_GoBack"/>
      <w:bookmarkStart w:id="0" w:name="OLE_LINK1"/>
      <w:r>
        <w:rPr>
          <w:rFonts w:hint="eastAsia" w:ascii="宋体" w:hAnsi="宋体" w:eastAsia="宋体" w:cs="宋体"/>
          <w:b/>
          <w:bCs/>
          <w:sz w:val="21"/>
          <w:szCs w:val="21"/>
          <w:lang w:eastAsia="zh-CN"/>
        </w:rPr>
        <w:t>附表</w:t>
      </w:r>
    </w:p>
    <w:p w14:paraId="2B0436DA">
      <w:pPr>
        <w:jc w:val="center"/>
        <w:rPr>
          <w:rFonts w:ascii="宋体" w:hAnsi="宋体" w:eastAsia="宋体" w:cs="宋体"/>
          <w:b/>
          <w:bCs/>
          <w:color w:val="auto"/>
          <w:sz w:val="30"/>
          <w:szCs w:val="30"/>
        </w:rPr>
      </w:pPr>
      <w:r>
        <w:rPr>
          <w:rFonts w:hint="eastAsia" w:ascii="宋体" w:hAnsi="宋体" w:cs="宋体"/>
          <w:b/>
          <w:bCs/>
          <w:color w:val="auto"/>
          <w:sz w:val="30"/>
          <w:szCs w:val="30"/>
          <w:lang w:eastAsia="zh-CN"/>
        </w:rPr>
        <w:t>我院</w:t>
      </w:r>
      <w:r>
        <w:rPr>
          <w:rFonts w:ascii="宋体" w:hAnsi="宋体" w:eastAsia="宋体" w:cs="宋体"/>
          <w:b/>
          <w:bCs/>
          <w:color w:val="auto"/>
          <w:sz w:val="30"/>
          <w:szCs w:val="30"/>
        </w:rPr>
        <w:t>2024年第</w:t>
      </w:r>
      <w:r>
        <w:rPr>
          <w:rFonts w:hint="eastAsia" w:ascii="宋体" w:hAnsi="宋体" w:eastAsia="宋体" w:cs="宋体"/>
          <w:b/>
          <w:bCs/>
          <w:color w:val="auto"/>
          <w:sz w:val="30"/>
          <w:szCs w:val="30"/>
          <w:lang w:eastAsia="zh-CN"/>
        </w:rPr>
        <w:t>一</w:t>
      </w:r>
      <w:r>
        <w:rPr>
          <w:rFonts w:ascii="宋体" w:hAnsi="宋体" w:eastAsia="宋体" w:cs="宋体"/>
          <w:b/>
          <w:bCs/>
          <w:color w:val="auto"/>
          <w:sz w:val="30"/>
          <w:szCs w:val="30"/>
        </w:rPr>
        <w:t>批</w:t>
      </w:r>
      <w:r>
        <w:rPr>
          <w:rFonts w:hint="eastAsia" w:ascii="宋体" w:hAnsi="宋体" w:cs="宋体"/>
          <w:b/>
          <w:bCs/>
          <w:color w:val="auto"/>
          <w:sz w:val="30"/>
          <w:szCs w:val="30"/>
          <w:lang w:eastAsia="zh-CN"/>
        </w:rPr>
        <w:t>新增医疗服务</w:t>
      </w:r>
      <w:r>
        <w:rPr>
          <w:rFonts w:ascii="宋体" w:hAnsi="宋体" w:eastAsia="宋体" w:cs="宋体"/>
          <w:b/>
          <w:bCs/>
          <w:color w:val="auto"/>
          <w:sz w:val="30"/>
          <w:szCs w:val="30"/>
        </w:rPr>
        <w:t>项目价格表</w:t>
      </w:r>
      <w:bookmarkEnd w:id="0"/>
    </w:p>
    <w:bookmarkEnd w:id="1"/>
    <w:p w14:paraId="25450032">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ascii="宋体" w:hAnsi="宋体" w:eastAsia="宋体" w:cs="宋体"/>
          <w:b w:val="0"/>
          <w:bCs w:val="0"/>
          <w:color w:val="auto"/>
          <w:sz w:val="24"/>
          <w:szCs w:val="24"/>
        </w:rPr>
      </w:pPr>
      <w:r>
        <w:rPr>
          <w:rFonts w:hint="eastAsia" w:ascii="宋体" w:hAnsi="宋体" w:eastAsia="宋体" w:cs="宋体"/>
          <w:b w:val="0"/>
          <w:bCs w:val="0"/>
          <w:color w:val="auto"/>
          <w:sz w:val="24"/>
          <w:szCs w:val="24"/>
        </w:rPr>
        <w:t>按照</w:t>
      </w:r>
      <w:r>
        <w:rPr>
          <w:rFonts w:hint="eastAsia" w:ascii="宋体" w:hAnsi="宋体" w:eastAsia="宋体" w:cs="宋体"/>
          <w:i w:val="0"/>
          <w:iCs w:val="0"/>
          <w:caps w:val="0"/>
          <w:color w:val="auto"/>
          <w:spacing w:val="0"/>
          <w:sz w:val="24"/>
          <w:szCs w:val="24"/>
          <w:shd w:val="clear" w:color="auto" w:fill="FFFFFF"/>
        </w:rPr>
        <w:t>广东省医疗保障局关于公布腔内动态三维子宫输卵管超声造影等新增和修订医疗服务价格项目的通知（粤医保函〔2023]145号）文件精神</w:t>
      </w:r>
      <w:r>
        <w:rPr>
          <w:rFonts w:hint="eastAsia" w:ascii="宋体" w:hAnsi="宋体" w:eastAsia="宋体" w:cs="宋体"/>
          <w:b w:val="0"/>
          <w:bCs w:val="0"/>
          <w:color w:val="auto"/>
          <w:sz w:val="24"/>
          <w:szCs w:val="24"/>
        </w:rPr>
        <w:t>，医院可进行自主定价（全自费），做好患者知情同意，由患者自愿选择。</w:t>
      </w:r>
    </w:p>
    <w:tbl>
      <w:tblPr>
        <w:tblStyle w:val="4"/>
        <w:tblpPr w:leftFromText="180" w:rightFromText="180" w:vertAnchor="text" w:horzAnchor="page" w:tblpX="1483" w:tblpY="442"/>
        <w:tblOverlap w:val="never"/>
        <w:tblW w:w="97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020"/>
        <w:gridCol w:w="1344"/>
        <w:gridCol w:w="3588"/>
        <w:gridCol w:w="1044"/>
        <w:gridCol w:w="1128"/>
        <w:gridCol w:w="876"/>
      </w:tblGrid>
      <w:tr w14:paraId="017CE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8" w:type="dxa"/>
            <w:noWrap w:val="0"/>
            <w:vAlign w:val="center"/>
          </w:tcPr>
          <w:p w14:paraId="19E070EC">
            <w:pPr>
              <w:pStyle w:val="2"/>
              <w:keepNext w:val="0"/>
              <w:keepLines w:val="0"/>
              <w:widowControl/>
              <w:suppressLineNumbers w:val="0"/>
              <w:ind w:left="0" w:leftChars="0" w:right="0" w:rightChars="0"/>
              <w:jc w:val="center"/>
              <w:rPr>
                <w:rFonts w:hint="eastAsia"/>
                <w:vertAlign w:val="baseline"/>
                <w:lang w:val="en-US" w:eastAsia="zh-CN"/>
              </w:rPr>
            </w:pPr>
            <w:r>
              <w:rPr>
                <w:rFonts w:ascii="微软雅黑" w:hAnsi="微软雅黑" w:eastAsia="微软雅黑" w:cs="微软雅黑"/>
                <w:b/>
                <w:bCs/>
                <w:color w:val="000000"/>
                <w:sz w:val="20"/>
                <w:szCs w:val="20"/>
              </w:rPr>
              <w:t>序号</w:t>
            </w:r>
          </w:p>
        </w:tc>
        <w:tc>
          <w:tcPr>
            <w:tcW w:w="1020" w:type="dxa"/>
            <w:noWrap w:val="0"/>
            <w:vAlign w:val="center"/>
          </w:tcPr>
          <w:p w14:paraId="7EBFA078">
            <w:pPr>
              <w:pStyle w:val="2"/>
              <w:keepNext w:val="0"/>
              <w:keepLines w:val="0"/>
              <w:widowControl/>
              <w:suppressLineNumbers w:val="0"/>
              <w:ind w:left="0" w:leftChars="0" w:right="0" w:rightChars="0"/>
              <w:jc w:val="center"/>
              <w:rPr>
                <w:rFonts w:hint="eastAsia"/>
                <w:vertAlign w:val="baseline"/>
                <w:lang w:val="en-US" w:eastAsia="zh-CN"/>
              </w:rPr>
            </w:pPr>
            <w:r>
              <w:rPr>
                <w:rFonts w:hint="eastAsia" w:ascii="微软雅黑" w:hAnsi="微软雅黑" w:eastAsia="微软雅黑" w:cs="微软雅黑"/>
                <w:b/>
                <w:bCs/>
                <w:color w:val="000000"/>
                <w:sz w:val="20"/>
                <w:szCs w:val="20"/>
              </w:rPr>
              <w:t>财务分类</w:t>
            </w:r>
          </w:p>
        </w:tc>
        <w:tc>
          <w:tcPr>
            <w:tcW w:w="1344" w:type="dxa"/>
            <w:noWrap w:val="0"/>
            <w:vAlign w:val="center"/>
          </w:tcPr>
          <w:p w14:paraId="4BB33566">
            <w:pPr>
              <w:pStyle w:val="2"/>
              <w:keepNext w:val="0"/>
              <w:keepLines w:val="0"/>
              <w:widowControl/>
              <w:suppressLineNumbers w:val="0"/>
              <w:ind w:left="0" w:leftChars="0" w:right="0" w:rightChars="0"/>
              <w:jc w:val="center"/>
              <w:rPr>
                <w:rFonts w:hint="eastAsia" w:eastAsia="宋体"/>
                <w:vertAlign w:val="baseline"/>
                <w:lang w:val="en-US" w:eastAsia="zh-CN"/>
              </w:rPr>
            </w:pPr>
            <w:r>
              <w:rPr>
                <w:rFonts w:hint="eastAsia" w:ascii="微软雅黑" w:hAnsi="微软雅黑" w:eastAsia="微软雅黑" w:cs="微软雅黑"/>
                <w:b/>
                <w:bCs/>
                <w:color w:val="000000"/>
                <w:sz w:val="20"/>
                <w:szCs w:val="20"/>
                <w:lang w:eastAsia="zh-CN"/>
              </w:rPr>
              <w:t>编码</w:t>
            </w:r>
          </w:p>
        </w:tc>
        <w:tc>
          <w:tcPr>
            <w:tcW w:w="3588" w:type="dxa"/>
            <w:noWrap w:val="0"/>
            <w:vAlign w:val="center"/>
          </w:tcPr>
          <w:p w14:paraId="16445C04">
            <w:pPr>
              <w:pStyle w:val="2"/>
              <w:keepNext w:val="0"/>
              <w:keepLines w:val="0"/>
              <w:widowControl/>
              <w:suppressLineNumbers w:val="0"/>
              <w:ind w:left="0" w:leftChars="0" w:right="0" w:rightChars="0"/>
              <w:jc w:val="center"/>
              <w:rPr>
                <w:rFonts w:hint="eastAsia"/>
                <w:vertAlign w:val="baseline"/>
                <w:lang w:val="en-US" w:eastAsia="zh-CN"/>
              </w:rPr>
            </w:pPr>
            <w:r>
              <w:rPr>
                <w:rFonts w:hint="eastAsia" w:ascii="微软雅黑" w:hAnsi="微软雅黑" w:eastAsia="微软雅黑" w:cs="微软雅黑"/>
                <w:b/>
                <w:bCs/>
                <w:color w:val="000000"/>
                <w:sz w:val="20"/>
                <w:szCs w:val="20"/>
              </w:rPr>
              <w:t>项目名称</w:t>
            </w:r>
          </w:p>
        </w:tc>
        <w:tc>
          <w:tcPr>
            <w:tcW w:w="1044" w:type="dxa"/>
            <w:noWrap w:val="0"/>
            <w:vAlign w:val="center"/>
          </w:tcPr>
          <w:p w14:paraId="1DE85FEB">
            <w:pPr>
              <w:pStyle w:val="2"/>
              <w:keepNext w:val="0"/>
              <w:keepLines w:val="0"/>
              <w:widowControl/>
              <w:suppressLineNumbers w:val="0"/>
              <w:ind w:left="0" w:leftChars="0" w:right="0" w:rightChars="0"/>
              <w:jc w:val="center"/>
              <w:rPr>
                <w:rFonts w:hint="eastAsia"/>
                <w:vertAlign w:val="baseline"/>
                <w:lang w:val="en-US" w:eastAsia="zh-CN"/>
              </w:rPr>
            </w:pPr>
            <w:r>
              <w:rPr>
                <w:rFonts w:hint="eastAsia" w:ascii="微软雅黑" w:hAnsi="微软雅黑" w:eastAsia="微软雅黑" w:cs="微软雅黑"/>
                <w:b/>
                <w:bCs/>
                <w:color w:val="000000"/>
                <w:sz w:val="20"/>
                <w:szCs w:val="20"/>
              </w:rPr>
              <w:t>计价单位</w:t>
            </w:r>
          </w:p>
        </w:tc>
        <w:tc>
          <w:tcPr>
            <w:tcW w:w="1128" w:type="dxa"/>
            <w:noWrap w:val="0"/>
            <w:vAlign w:val="center"/>
          </w:tcPr>
          <w:p w14:paraId="16891539">
            <w:pPr>
              <w:pStyle w:val="2"/>
              <w:keepNext w:val="0"/>
              <w:keepLines w:val="0"/>
              <w:widowControl/>
              <w:suppressLineNumbers w:val="0"/>
              <w:jc w:val="center"/>
              <w:rPr>
                <w:rFonts w:hint="eastAsia"/>
                <w:vertAlign w:val="baseline"/>
                <w:lang w:val="en-US" w:eastAsia="zh-CN"/>
              </w:rPr>
            </w:pPr>
            <w:r>
              <w:rPr>
                <w:rFonts w:hint="eastAsia" w:ascii="微软雅黑" w:hAnsi="微软雅黑" w:eastAsia="微软雅黑" w:cs="微软雅黑"/>
                <w:b/>
                <w:bCs/>
                <w:color w:val="000000"/>
                <w:sz w:val="20"/>
                <w:szCs w:val="20"/>
              </w:rPr>
              <w:t>价 格</w:t>
            </w:r>
            <w:r>
              <w:rPr>
                <w:rFonts w:hint="eastAsia" w:ascii="微软雅黑" w:hAnsi="微软雅黑" w:eastAsia="微软雅黑" w:cs="微软雅黑"/>
                <w:b/>
                <w:bCs/>
                <w:color w:val="000000"/>
                <w:sz w:val="20"/>
                <w:szCs w:val="20"/>
                <w:lang w:eastAsia="zh-CN"/>
              </w:rPr>
              <w:t>（元</w:t>
            </w:r>
            <w:r>
              <w:rPr>
                <w:rFonts w:hint="eastAsia" w:ascii="微软雅黑" w:hAnsi="微软雅黑" w:eastAsia="微软雅黑" w:cs="微软雅黑"/>
                <w:b/>
                <w:bCs/>
                <w:color w:val="000000"/>
                <w:sz w:val="20"/>
                <w:szCs w:val="20"/>
              </w:rPr>
              <w:t>）</w:t>
            </w:r>
          </w:p>
        </w:tc>
        <w:tc>
          <w:tcPr>
            <w:tcW w:w="876" w:type="dxa"/>
            <w:noWrap w:val="0"/>
            <w:vAlign w:val="center"/>
          </w:tcPr>
          <w:p w14:paraId="01F45A6F">
            <w:pPr>
              <w:pStyle w:val="2"/>
              <w:keepNext w:val="0"/>
              <w:keepLines w:val="0"/>
              <w:widowControl/>
              <w:suppressLineNumbers w:val="0"/>
              <w:ind w:left="0" w:leftChars="0" w:right="0" w:rightChars="0"/>
              <w:jc w:val="center"/>
              <w:rPr>
                <w:rFonts w:hint="eastAsia"/>
                <w:vertAlign w:val="baseline"/>
                <w:lang w:val="en-US" w:eastAsia="zh-CN"/>
              </w:rPr>
            </w:pPr>
            <w:r>
              <w:rPr>
                <w:rFonts w:hint="eastAsia" w:ascii="微软雅黑" w:hAnsi="微软雅黑" w:eastAsia="微软雅黑" w:cs="微软雅黑"/>
                <w:b/>
                <w:bCs/>
                <w:color w:val="000000"/>
                <w:sz w:val="20"/>
                <w:szCs w:val="20"/>
              </w:rPr>
              <w:t>备注</w:t>
            </w:r>
          </w:p>
        </w:tc>
      </w:tr>
      <w:tr w14:paraId="4FA40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08" w:type="dxa"/>
            <w:noWrap w:val="0"/>
            <w:vAlign w:val="center"/>
          </w:tcPr>
          <w:p w14:paraId="2F80D422">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1</w:t>
            </w:r>
          </w:p>
        </w:tc>
        <w:tc>
          <w:tcPr>
            <w:tcW w:w="1020" w:type="dxa"/>
            <w:noWrap w:val="0"/>
            <w:vAlign w:val="center"/>
          </w:tcPr>
          <w:p w14:paraId="02A1CC19">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H</w:t>
            </w:r>
          </w:p>
        </w:tc>
        <w:tc>
          <w:tcPr>
            <w:tcW w:w="1344" w:type="dxa"/>
            <w:noWrap w:val="0"/>
            <w:vAlign w:val="center"/>
          </w:tcPr>
          <w:p w14:paraId="52755B84">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250403094N</w:t>
            </w:r>
          </w:p>
        </w:tc>
        <w:tc>
          <w:tcPr>
            <w:tcW w:w="3588" w:type="dxa"/>
            <w:noWrap w:val="0"/>
            <w:vAlign w:val="center"/>
          </w:tcPr>
          <w:p w14:paraId="6F115C3A">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肝素结合蛋白测定</w:t>
            </w:r>
          </w:p>
        </w:tc>
        <w:tc>
          <w:tcPr>
            <w:tcW w:w="1044" w:type="dxa"/>
            <w:noWrap w:val="0"/>
            <w:vAlign w:val="center"/>
          </w:tcPr>
          <w:p w14:paraId="0CBF6946">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项</w:t>
            </w:r>
          </w:p>
        </w:tc>
        <w:tc>
          <w:tcPr>
            <w:tcW w:w="1128" w:type="dxa"/>
            <w:noWrap w:val="0"/>
            <w:vAlign w:val="center"/>
          </w:tcPr>
          <w:p w14:paraId="6D3616C9">
            <w:pPr>
              <w:keepNext w:val="0"/>
              <w:keepLines w:val="0"/>
              <w:widowControl/>
              <w:suppressLineNumbers w:val="0"/>
              <w:jc w:val="center"/>
              <w:textAlignment w:val="center"/>
              <w:rPr>
                <w:rFonts w:hint="eastAsia" w:ascii="宋体" w:hAnsi="宋体" w:eastAsia="宋体" w:cs="宋体"/>
                <w:vertAlign w:val="baseline"/>
                <w:lang w:val="en-US" w:eastAsia="zh-CN"/>
              </w:rPr>
            </w:pPr>
            <w:r>
              <w:rPr>
                <w:rFonts w:hint="eastAsia" w:ascii="宋体" w:hAnsi="宋体" w:eastAsia="宋体" w:cs="宋体"/>
                <w:i w:val="0"/>
                <w:iCs w:val="0"/>
                <w:color w:val="000000"/>
                <w:kern w:val="0"/>
                <w:sz w:val="20"/>
                <w:szCs w:val="20"/>
                <w:u w:val="none"/>
                <w:lang w:val="en-US" w:eastAsia="zh-CN" w:bidi="ar"/>
              </w:rPr>
              <w:t>316.71</w:t>
            </w:r>
          </w:p>
        </w:tc>
        <w:tc>
          <w:tcPr>
            <w:tcW w:w="876" w:type="dxa"/>
            <w:noWrap w:val="0"/>
            <w:vAlign w:val="top"/>
          </w:tcPr>
          <w:p w14:paraId="0EAD9FDC">
            <w:pPr>
              <w:jc w:val="center"/>
              <w:rPr>
                <w:rFonts w:hint="eastAsia" w:ascii="宋体" w:hAnsi="宋体" w:eastAsia="宋体" w:cs="宋体"/>
                <w:vertAlign w:val="baseline"/>
                <w:lang w:val="en-US" w:eastAsia="zh-CN"/>
              </w:rPr>
            </w:pPr>
          </w:p>
        </w:tc>
      </w:tr>
    </w:tbl>
    <w:p w14:paraId="7913026C">
      <w:pPr>
        <w:jc w:val="both"/>
        <w:rPr>
          <w:rFonts w:hint="eastAsia"/>
          <w:lang w:val="en-US" w:eastAsia="zh-CN"/>
        </w:rPr>
      </w:pPr>
    </w:p>
    <w:p w14:paraId="6A57DBD7"/>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2ZDgyMjdhYjZjYzYyYzFkZDNiZTk0NmI2MmYzNDAifQ=="/>
  </w:docVars>
  <w:rsids>
    <w:rsidRoot w:val="64F4435D"/>
    <w:rsid w:val="64F443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100" w:beforeAutospacing="1" w:after="100" w:afterAutospacing="1"/>
      <w:ind w:left="0" w:right="0"/>
      <w:jc w:val="left"/>
    </w:pPr>
    <w:rPr>
      <w:kern w:val="0"/>
      <w:sz w:val="24"/>
      <w:lang w:val="en-US" w:eastAsia="zh-CN" w:bidi="ar"/>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2024-08-23T10:10:00Z</dcterms:created>
  <dc:creator>许静敏。</dc:creator>
  <cp:lastModifiedBy>许静敏。</cp:lastModifiedBy>
  <dcterms:modified xsi:type="dcterms:W3CDTF">2024-08-23T10:10:42Z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E3EEBB3558B64D27832BC769DB450215_11</vt:lpwstr>
  </property>
</Properties>
</file>