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32"/>
          <w:szCs w:val="32"/>
        </w:rPr>
      </w:pPr>
      <w:r>
        <w:rPr>
          <w:rFonts w:hint="eastAsia"/>
          <w:b/>
          <w:bCs/>
          <w:sz w:val="32"/>
          <w:szCs w:val="32"/>
        </w:rPr>
        <w:t>采购需求调查反馈表</w:t>
      </w:r>
    </w:p>
    <w:p>
      <w:r>
        <w:rPr>
          <w:rFonts w:hint="eastAsia"/>
          <w:sz w:val="24"/>
        </w:rPr>
        <w:t xml:space="preserve">项目名称：广州医科大学附属妇女儿童医疗中心2024年周转仓库租赁项目   </w:t>
      </w:r>
    </w:p>
    <w:p/>
    <w:p>
      <w:pPr>
        <w:pStyle w:val="13"/>
        <w:tabs>
          <w:tab w:val="left" w:pos="540"/>
        </w:tabs>
        <w:adjustRightInd w:val="0"/>
        <w:snapToGrid w:val="0"/>
        <w:spacing w:line="360" w:lineRule="auto"/>
        <w:rPr>
          <w:rFonts w:hint="eastAsia" w:ascii="Times New Roman" w:hAnsi="宋体" w:cs="宋体"/>
          <w:b/>
          <w:sz w:val="24"/>
          <w:szCs w:val="24"/>
        </w:rPr>
      </w:pPr>
      <w:r>
        <w:rPr>
          <w:rFonts w:hint="eastAsia" w:ascii="Times New Roman" w:hAnsi="宋体" w:cs="宋体"/>
          <w:b/>
          <w:sz w:val="24"/>
          <w:szCs w:val="24"/>
        </w:rPr>
        <w:t xml:space="preserve">一、项目概况：      </w:t>
      </w:r>
    </w:p>
    <w:p>
      <w:pPr>
        <w:pStyle w:val="13"/>
        <w:tabs>
          <w:tab w:val="left" w:pos="540"/>
        </w:tabs>
        <w:adjustRightInd w:val="0"/>
        <w:snapToGrid w:val="0"/>
        <w:spacing w:line="360" w:lineRule="auto"/>
        <w:ind w:firstLine="480" w:firstLineChars="200"/>
        <w:rPr>
          <w:rFonts w:hint="eastAsia" w:ascii="Times New Roman" w:hAnsi="宋体" w:cs="宋体"/>
          <w:sz w:val="24"/>
          <w:szCs w:val="24"/>
        </w:rPr>
      </w:pPr>
      <w:r>
        <w:rPr>
          <w:rFonts w:hint="eastAsia" w:hAnsi="宋体" w:cs="宋体"/>
          <w:sz w:val="24"/>
          <w:szCs w:val="24"/>
        </w:rPr>
        <w:t>本项目主要为放置五个院区（珠江、儿童、妇婴、白云、增城）的待报废</w:t>
      </w:r>
      <w:r>
        <w:rPr>
          <w:rFonts w:hint="eastAsia" w:ascii="Calibri" w:hAnsi="宋体" w:cs="宋体"/>
          <w:sz w:val="24"/>
          <w:szCs w:val="24"/>
        </w:rPr>
        <w:t>物资（包括医疗设备和总务设备），现需租赁面积2000㎡-2500㎡、</w:t>
      </w:r>
      <w:r>
        <w:rPr>
          <w:rFonts w:ascii="Calibri" w:hAnsi="宋体" w:cs="宋体"/>
          <w:sz w:val="24"/>
          <w:szCs w:val="24"/>
        </w:rPr>
        <w:t>地理位置大概位于</w:t>
      </w:r>
      <w:r>
        <w:rPr>
          <w:rFonts w:hint="eastAsia" w:ascii="Calibri" w:hAnsi="宋体" w:cs="宋体"/>
          <w:sz w:val="24"/>
          <w:szCs w:val="24"/>
        </w:rPr>
        <w:t>珠江新城院区</w:t>
      </w:r>
      <w:r>
        <w:rPr>
          <w:rFonts w:ascii="Calibri" w:hAnsi="宋体" w:cs="宋体"/>
          <w:sz w:val="24"/>
          <w:szCs w:val="24"/>
        </w:rPr>
        <w:t>与增城院区之间</w:t>
      </w:r>
      <w:r>
        <w:rPr>
          <w:rFonts w:hint="eastAsia" w:ascii="Calibri" w:hAnsi="宋体" w:cs="宋体"/>
          <w:sz w:val="24"/>
          <w:szCs w:val="24"/>
        </w:rPr>
        <w:t>地段的库房作为周转仓库用。具体院区地址如下：</w:t>
      </w:r>
      <w:r>
        <w:rPr>
          <w:rFonts w:hint="eastAsia" w:hAnsi="宋体" w:cs="宋体"/>
          <w:sz w:val="24"/>
          <w:szCs w:val="24"/>
        </w:rPr>
        <w:t>儿童院区广州市越秀区人民中路 318 号；妇婴院区广州市越秀区人民中路 402 号；珠江新城院区广州市天河区金穗路 9号；白云院区广州市白云区新达路 91号</w:t>
      </w:r>
      <w:r>
        <w:rPr>
          <w:rFonts w:hint="eastAsia" w:ascii="Times New Roman" w:hAnsi="宋体" w:cs="宋体"/>
          <w:sz w:val="24"/>
          <w:szCs w:val="24"/>
        </w:rPr>
        <w:t>，增城院区广州市增城区增城大道293号。</w:t>
      </w:r>
    </w:p>
    <w:p>
      <w:pPr>
        <w:pStyle w:val="13"/>
        <w:tabs>
          <w:tab w:val="left" w:pos="540"/>
        </w:tabs>
        <w:adjustRightInd w:val="0"/>
        <w:snapToGrid w:val="0"/>
        <w:spacing w:line="360" w:lineRule="auto"/>
        <w:rPr>
          <w:rFonts w:hint="eastAsia" w:ascii="Calibri" w:hAnsi="Calibri"/>
          <w:kern w:val="2"/>
          <w:sz w:val="21"/>
          <w:szCs w:val="24"/>
        </w:rPr>
      </w:pPr>
      <w:r>
        <w:rPr>
          <w:rFonts w:hint="eastAsia" w:ascii="Times New Roman" w:hAnsi="宋体" w:cs="宋体"/>
          <w:b/>
          <w:sz w:val="24"/>
          <w:szCs w:val="24"/>
        </w:rPr>
        <w:t>二、调研对象基本情况（需附上营业执照）：</w:t>
      </w:r>
    </w:p>
    <w:tbl>
      <w:tblPr>
        <w:tblStyle w:val="4"/>
        <w:tblW w:w="9318"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0"/>
        <w:gridCol w:w="5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550"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r>
              <w:rPr>
                <w:rFonts w:hint="eastAsia" w:cs="Times New Roman"/>
              </w:rPr>
              <w:t>单位名称</w:t>
            </w:r>
          </w:p>
        </w:tc>
        <w:tc>
          <w:tcPr>
            <w:tcW w:w="5768"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550"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r>
              <w:rPr>
                <w:rFonts w:hint="eastAsia" w:cs="Times New Roman"/>
              </w:rPr>
              <w:t>成立时间</w:t>
            </w:r>
          </w:p>
        </w:tc>
        <w:tc>
          <w:tcPr>
            <w:tcW w:w="5768"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550"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r>
              <w:rPr>
                <w:rFonts w:hint="eastAsia" w:cs="Times New Roman"/>
              </w:rPr>
              <w:t>注册地址</w:t>
            </w:r>
          </w:p>
        </w:tc>
        <w:tc>
          <w:tcPr>
            <w:tcW w:w="5768"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550"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r>
              <w:rPr>
                <w:rFonts w:hint="eastAsia" w:cs="Times New Roman"/>
              </w:rPr>
              <w:t>联系人</w:t>
            </w:r>
          </w:p>
        </w:tc>
        <w:tc>
          <w:tcPr>
            <w:tcW w:w="5768"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550"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r>
              <w:rPr>
                <w:rFonts w:hint="eastAsia" w:cs="Times New Roman"/>
              </w:rPr>
              <w:t>联系电话</w:t>
            </w:r>
          </w:p>
        </w:tc>
        <w:tc>
          <w:tcPr>
            <w:tcW w:w="5768"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3550"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r>
              <w:rPr>
                <w:rFonts w:hint="eastAsia" w:cs="Times New Roman"/>
              </w:rPr>
              <w:t>与本项目采购需求相关的资质证书</w:t>
            </w:r>
          </w:p>
        </w:tc>
        <w:tc>
          <w:tcPr>
            <w:tcW w:w="5768"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0"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r>
              <w:rPr>
                <w:rFonts w:hint="eastAsia" w:cs="Times New Roman"/>
              </w:rPr>
              <w:t>是否属于中小微企业（对应的中小微企业划分标准所属行业为：租赁和商务服务业）。</w:t>
            </w:r>
          </w:p>
        </w:tc>
        <w:tc>
          <w:tcPr>
            <w:tcW w:w="5768"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p>
        </w:tc>
      </w:tr>
    </w:tbl>
    <w:p>
      <w:pPr>
        <w:rPr>
          <w:rFonts w:hint="eastAsia"/>
        </w:rPr>
      </w:pPr>
    </w:p>
    <w:p>
      <w:pPr>
        <w:rPr>
          <w:rFonts w:hint="eastAsia" w:ascii="Times New Roman" w:hAnsi="宋体" w:cs="宋体"/>
          <w:b/>
          <w:kern w:val="0"/>
          <w:sz w:val="24"/>
          <w:lang w:bidi="ar"/>
        </w:rPr>
      </w:pPr>
      <w:r>
        <w:rPr>
          <w:rFonts w:hint="eastAsia" w:ascii="Times New Roman" w:hAnsi="宋体" w:cs="宋体"/>
          <w:b/>
          <w:kern w:val="0"/>
          <w:sz w:val="24"/>
          <w:lang w:bidi="ar"/>
        </w:rPr>
        <w:t>三、调研对象资格情况：</w:t>
      </w:r>
    </w:p>
    <w:tbl>
      <w:tblPr>
        <w:tblStyle w:val="4"/>
        <w:tblW w:w="930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1"/>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1" w:type="dxa"/>
            <w:shd w:val="clear" w:color="auto" w:fill="auto"/>
            <w:noWrap w:val="0"/>
            <w:vAlign w:val="top"/>
          </w:tcPr>
          <w:p>
            <w:pPr>
              <w:keepNext w:val="0"/>
              <w:keepLines w:val="0"/>
              <w:suppressLineNumbers w:val="0"/>
              <w:spacing w:before="0" w:beforeAutospacing="0" w:after="0" w:afterAutospacing="0"/>
              <w:ind w:left="0" w:right="0"/>
              <w:jc w:val="center"/>
              <w:rPr>
                <w:rFonts w:hint="eastAsia" w:cs="Times New Roman"/>
                <w:b/>
                <w:bCs/>
              </w:rPr>
            </w:pPr>
            <w:r>
              <w:rPr>
                <w:rFonts w:hint="eastAsia" w:cs="Times New Roman"/>
                <w:b/>
                <w:bCs/>
              </w:rPr>
              <w:t>资格要求</w:t>
            </w:r>
          </w:p>
        </w:tc>
        <w:tc>
          <w:tcPr>
            <w:tcW w:w="2629" w:type="dxa"/>
            <w:shd w:val="clear" w:color="auto" w:fill="auto"/>
            <w:noWrap w:val="0"/>
            <w:vAlign w:val="top"/>
          </w:tcPr>
          <w:p>
            <w:pPr>
              <w:keepNext w:val="0"/>
              <w:keepLines w:val="0"/>
              <w:suppressLineNumbers w:val="0"/>
              <w:spacing w:before="0" w:beforeAutospacing="0" w:after="0" w:afterAutospacing="0"/>
              <w:ind w:left="0" w:right="0"/>
              <w:jc w:val="center"/>
              <w:rPr>
                <w:rFonts w:hint="eastAsia" w:cs="Times New Roman"/>
                <w:b/>
                <w:bCs/>
              </w:rPr>
            </w:pPr>
            <w:r>
              <w:rPr>
                <w:rFonts w:hint="eastAsia" w:cs="Times New Roman"/>
                <w:b/>
                <w:bCs/>
              </w:rPr>
              <w:t>是否满足             （请提供相关证明文件）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1" w:type="dxa"/>
            <w:shd w:val="clear" w:color="auto" w:fill="auto"/>
            <w:noWrap w:val="0"/>
            <w:vAlign w:val="top"/>
          </w:tcPr>
          <w:p>
            <w:pPr>
              <w:keepNext w:val="0"/>
              <w:keepLines w:val="0"/>
              <w:suppressLineNumbers w:val="0"/>
              <w:spacing w:before="0" w:beforeAutospacing="0" w:after="0" w:afterAutospacing="0"/>
              <w:ind w:left="0" w:right="0"/>
              <w:rPr>
                <w:rFonts w:hint="eastAsia" w:cs="Times New Roman"/>
              </w:rPr>
            </w:pPr>
            <w:r>
              <w:rPr>
                <w:rFonts w:hint="eastAsia" w:cs="Times New Roman"/>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如供应商为分支机构，须取得具有法人资格的总公司（总所）出具给分支机构的授权书，并提供总公司（总所）和分支机构的营业执照（执业许可证）扫描件；已由总公司（总所）授权的，总公司（总所）取得的相关资质证书对分支机构有效，法律法规或者行业另有规定的除外）</w:t>
            </w:r>
          </w:p>
        </w:tc>
        <w:tc>
          <w:tcPr>
            <w:tcW w:w="2629" w:type="dxa"/>
            <w:shd w:val="clear" w:color="auto" w:fill="auto"/>
            <w:noWrap w:val="0"/>
            <w:vAlign w:val="top"/>
          </w:tcPr>
          <w:p>
            <w:pPr>
              <w:keepNext w:val="0"/>
              <w:keepLines w:val="0"/>
              <w:suppressLineNumbers w:val="0"/>
              <w:spacing w:before="0" w:beforeAutospacing="0" w:after="0" w:afterAutospacing="0"/>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1"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r>
              <w:rPr>
                <w:rFonts w:hint="eastAsia" w:cs="Times New Roman"/>
              </w:rPr>
              <w:t>2）有依法缴纳税收和社会保障资金的良好记录：提供《资格声明函》</w:t>
            </w:r>
          </w:p>
        </w:tc>
        <w:tc>
          <w:tcPr>
            <w:tcW w:w="2629"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1"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r>
              <w:rPr>
                <w:rFonts w:hint="eastAsia" w:cs="Times New Roman"/>
              </w:rPr>
              <w:t>3）具有良好的商业信誉和健全的财务会计制度：提供《资格声明函》</w:t>
            </w:r>
          </w:p>
        </w:tc>
        <w:tc>
          <w:tcPr>
            <w:tcW w:w="2629"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1"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r>
              <w:rPr>
                <w:rFonts w:hint="eastAsia" w:cs="Times New Roman"/>
              </w:rPr>
              <w:t>4）履行合同所必需的设备和专业技术能力：提供《资格声明函》</w:t>
            </w:r>
          </w:p>
        </w:tc>
        <w:tc>
          <w:tcPr>
            <w:tcW w:w="2629"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1" w:type="dxa"/>
            <w:shd w:val="clear" w:color="auto" w:fill="auto"/>
            <w:noWrap w:val="0"/>
            <w:vAlign w:val="top"/>
          </w:tcPr>
          <w:p>
            <w:pPr>
              <w:keepNext w:val="0"/>
              <w:keepLines w:val="0"/>
              <w:suppressLineNumbers w:val="0"/>
              <w:spacing w:before="0" w:beforeAutospacing="0" w:after="0" w:afterAutospacing="0"/>
              <w:ind w:left="0" w:right="0"/>
              <w:rPr>
                <w:rFonts w:hint="eastAsia" w:cs="Times New Roman"/>
              </w:rPr>
            </w:pPr>
            <w:r>
              <w:rPr>
                <w:rFonts w:hint="eastAsia" w:cs="Times New Roman"/>
              </w:rPr>
              <w:t>5）参加采购活动前3年内，在经营活动中没有重大违法记录：提供《资格声明函》。重大违法记录，是指供应商因违法经营受到刑事处罚或者责令停产停业、吊销许可证或者执照、较大数额罚款等行政处罚。（较大数额罚款按照《财政部关于&lt;中华人民共和国政府采购法实施条例&gt;第十九条第一款“较大数额罚款”具体适用问题的意见》（财库〔2022〕3号）执行）</w:t>
            </w:r>
          </w:p>
        </w:tc>
        <w:tc>
          <w:tcPr>
            <w:tcW w:w="2629" w:type="dxa"/>
            <w:shd w:val="clear" w:color="auto" w:fill="auto"/>
            <w:noWrap w:val="0"/>
            <w:vAlign w:val="top"/>
          </w:tcPr>
          <w:p>
            <w:pPr>
              <w:keepNext w:val="0"/>
              <w:keepLines w:val="0"/>
              <w:suppressLineNumbers w:val="0"/>
              <w:spacing w:before="0" w:beforeAutospacing="0" w:after="0" w:afterAutospacing="0"/>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1" w:type="dxa"/>
            <w:shd w:val="clear" w:color="auto" w:fill="auto"/>
            <w:noWrap w:val="0"/>
            <w:vAlign w:val="top"/>
          </w:tcPr>
          <w:p>
            <w:pPr>
              <w:keepNext w:val="0"/>
              <w:keepLines w:val="0"/>
              <w:suppressLineNumbers w:val="0"/>
              <w:spacing w:before="0" w:beforeAutospacing="0" w:after="0" w:afterAutospacing="0"/>
              <w:ind w:left="0" w:right="0"/>
              <w:rPr>
                <w:rFonts w:hint="eastAsia" w:cs="Times New Roman"/>
              </w:rPr>
            </w:pPr>
            <w:r>
              <w:rPr>
                <w:rFonts w:hint="eastAsia" w:cs="Times New Roman"/>
                <w:lang w:val="en-US" w:eastAsia="zh-CN"/>
              </w:rPr>
              <w:t>6）</w:t>
            </w:r>
            <w:r>
              <w:rPr>
                <w:rFonts w:hint="eastAsia" w:cs="Times New Roman"/>
              </w:rPr>
              <w:t>供应商未被列入“信用中国”网站(www.creditchina.gov.cn)“记录失信被执行人或重大税收违法失信主体”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tc>
        <w:tc>
          <w:tcPr>
            <w:tcW w:w="2629" w:type="dxa"/>
            <w:shd w:val="clear" w:color="auto" w:fill="auto"/>
            <w:noWrap w:val="0"/>
            <w:vAlign w:val="top"/>
          </w:tcPr>
          <w:p>
            <w:pPr>
              <w:keepNext w:val="0"/>
              <w:keepLines w:val="0"/>
              <w:suppressLineNumbers w:val="0"/>
              <w:spacing w:before="0" w:beforeAutospacing="0" w:after="0" w:afterAutospacing="0"/>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1" w:type="dxa"/>
            <w:shd w:val="clear" w:color="auto" w:fill="auto"/>
            <w:noWrap w:val="0"/>
            <w:vAlign w:val="top"/>
          </w:tcPr>
          <w:p>
            <w:pPr>
              <w:keepNext w:val="0"/>
              <w:keepLines w:val="0"/>
              <w:suppressLineNumbers w:val="0"/>
              <w:spacing w:before="0" w:beforeAutospacing="0" w:after="0" w:afterAutospacing="0"/>
              <w:ind w:left="0" w:right="0"/>
              <w:rPr>
                <w:rFonts w:hint="eastAsia" w:cs="Times New Roman"/>
              </w:rPr>
            </w:pPr>
            <w:r>
              <w:rPr>
                <w:rFonts w:hint="eastAsia" w:cs="Times New Roman"/>
                <w:lang w:val="en-US" w:eastAsia="zh-CN"/>
              </w:rPr>
              <w:t>7）</w:t>
            </w:r>
            <w:r>
              <w:rPr>
                <w:rFonts w:hint="eastAsia" w:cs="Times New Roman"/>
              </w:rPr>
              <w:t>单位负责人为同一人或者存在直接控股、管理关系的不同供应商，不得同时参加本采购项目（采购包）投标（响应）。为本项目提供整体设计、规范编制或者项目管理、监理、检测等服务的供应商，不得再参与本项目投标（响应）。提供《资格声明函》</w:t>
            </w:r>
          </w:p>
        </w:tc>
        <w:tc>
          <w:tcPr>
            <w:tcW w:w="2629" w:type="dxa"/>
            <w:shd w:val="clear" w:color="auto" w:fill="auto"/>
            <w:noWrap w:val="0"/>
            <w:vAlign w:val="top"/>
          </w:tcPr>
          <w:p>
            <w:pPr>
              <w:keepNext w:val="0"/>
              <w:keepLines w:val="0"/>
              <w:suppressLineNumbers w:val="0"/>
              <w:spacing w:before="0" w:beforeAutospacing="0" w:after="0" w:afterAutospacing="0"/>
              <w:ind w:left="0" w:right="0"/>
              <w:rPr>
                <w:rFonts w:hint="eastAsia"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1"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r>
              <w:rPr>
                <w:rFonts w:hint="eastAsia" w:cs="Times New Roman"/>
                <w:lang w:val="en-US" w:eastAsia="zh-CN"/>
              </w:rPr>
              <w:t>8）</w:t>
            </w:r>
            <w:r>
              <w:rPr>
                <w:rFonts w:hint="eastAsia" w:cs="Times New Roman"/>
              </w:rPr>
              <w:t>本项目不接受联合体投标，不允许分包、转包。提供《资格声明函》</w:t>
            </w:r>
          </w:p>
        </w:tc>
        <w:tc>
          <w:tcPr>
            <w:tcW w:w="2629" w:type="dxa"/>
            <w:shd w:val="clear" w:color="auto" w:fill="auto"/>
            <w:noWrap w:val="0"/>
            <w:vAlign w:val="top"/>
          </w:tcPr>
          <w:p>
            <w:pPr>
              <w:keepNext w:val="0"/>
              <w:keepLines w:val="0"/>
              <w:suppressLineNumbers w:val="0"/>
              <w:spacing w:before="0" w:beforeAutospacing="0" w:after="0" w:afterAutospacing="0" w:line="360" w:lineRule="auto"/>
              <w:ind w:left="0" w:right="0"/>
              <w:rPr>
                <w:rFonts w:hint="eastAsia" w:cs="Times New Roman"/>
              </w:rPr>
            </w:pPr>
          </w:p>
        </w:tc>
      </w:tr>
    </w:tbl>
    <w:p>
      <w:pPr>
        <w:rPr>
          <w:rFonts w:hint="eastAsia"/>
        </w:rPr>
      </w:pPr>
    </w:p>
    <w:p>
      <w:pPr>
        <w:numPr>
          <w:ilvl w:val="0"/>
          <w:numId w:val="1"/>
        </w:numPr>
        <w:rPr>
          <w:rFonts w:hint="eastAsia" w:ascii="Times New Roman" w:hAnsi="宋体" w:cs="宋体"/>
          <w:b/>
          <w:kern w:val="0"/>
          <w:sz w:val="24"/>
          <w:lang w:bidi="ar"/>
        </w:rPr>
      </w:pPr>
      <w:r>
        <w:rPr>
          <w:rFonts w:hint="eastAsia" w:ascii="Times New Roman" w:hAnsi="宋体" w:cs="宋体"/>
          <w:b/>
          <w:kern w:val="0"/>
          <w:sz w:val="24"/>
          <w:lang w:bidi="ar"/>
        </w:rPr>
        <w:t>服务需求：</w:t>
      </w:r>
    </w:p>
    <w:p>
      <w:pPr>
        <w:rPr>
          <w:rFonts w:ascii="Times New Roman" w:hAnsi="宋体" w:cs="宋体"/>
          <w:bCs/>
          <w:kern w:val="0"/>
          <w:szCs w:val="21"/>
          <w:lang w:bidi="ar"/>
        </w:rPr>
      </w:pPr>
      <w:r>
        <w:rPr>
          <w:rFonts w:hint="eastAsia" w:ascii="Times New Roman" w:hAnsi="宋体" w:cs="宋体"/>
          <w:bCs/>
          <w:kern w:val="0"/>
          <w:szCs w:val="21"/>
          <w:lang w:bidi="ar"/>
        </w:rPr>
        <w:t>1、物业情况：</w:t>
      </w:r>
    </w:p>
    <w:tbl>
      <w:tblPr>
        <w:tblStyle w:val="4"/>
        <w:tblW w:w="9283"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6"/>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shd w:val="clear" w:color="auto" w:fill="auto"/>
            <w:noWrap w:val="0"/>
            <w:vAlign w:val="center"/>
          </w:tcPr>
          <w:p>
            <w:pPr>
              <w:keepNext w:val="0"/>
              <w:keepLines w:val="0"/>
              <w:suppressLineNumbers w:val="0"/>
              <w:spacing w:before="0" w:beforeAutospacing="0" w:after="0" w:afterAutospacing="0"/>
              <w:ind w:left="0" w:right="0"/>
              <w:jc w:val="center"/>
              <w:rPr>
                <w:rFonts w:hint="default" w:cs="Times New Roman"/>
                <w:b/>
                <w:bCs/>
              </w:rPr>
            </w:pPr>
            <w:r>
              <w:rPr>
                <w:rFonts w:hint="eastAsia" w:cs="Times New Roman"/>
                <w:b/>
                <w:bCs/>
              </w:rPr>
              <w:t>需求</w:t>
            </w:r>
          </w:p>
        </w:tc>
        <w:tc>
          <w:tcPr>
            <w:tcW w:w="2087" w:type="dxa"/>
            <w:shd w:val="clear" w:color="auto" w:fill="auto"/>
            <w:noWrap w:val="0"/>
            <w:vAlign w:val="center"/>
          </w:tcPr>
          <w:p>
            <w:pPr>
              <w:keepNext w:val="0"/>
              <w:keepLines w:val="0"/>
              <w:suppressLineNumbers w:val="0"/>
              <w:spacing w:before="0" w:beforeAutospacing="0" w:after="0" w:afterAutospacing="0"/>
              <w:ind w:left="0" w:right="0"/>
              <w:jc w:val="center"/>
              <w:rPr>
                <w:rFonts w:hint="default" w:cs="Times New Roman"/>
                <w:b/>
                <w:bCs/>
              </w:rPr>
            </w:pPr>
            <w:r>
              <w:rPr>
                <w:rFonts w:hint="eastAsia" w:cs="Times New Roman"/>
                <w:b/>
                <w:bCs/>
              </w:rPr>
              <w:t>是否满足             （请提供相关证明文件）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shd w:val="clear" w:color="auto" w:fill="auto"/>
            <w:noWrap w:val="0"/>
            <w:vAlign w:val="top"/>
          </w:tcPr>
          <w:p>
            <w:pPr>
              <w:keepNext w:val="0"/>
              <w:keepLines w:val="0"/>
              <w:suppressLineNumbers w:val="0"/>
              <w:spacing w:before="0" w:beforeAutospacing="0" w:after="0" w:afterAutospacing="0"/>
              <w:ind w:left="0" w:right="0"/>
              <w:rPr>
                <w:rFonts w:hint="default" w:cs="Times New Roman"/>
              </w:rPr>
            </w:pPr>
            <w:r>
              <w:rPr>
                <w:rFonts w:hint="eastAsia" w:cs="Times New Roman"/>
              </w:rPr>
              <w:t>1、所投房屋无出让、查封、担保等事项，没有其他法律纠纷；且所投房屋与产权物业地址一致，产权清晰，手续齐全【需提供以下资料：不动产权证或房产证；若中标人提供的房源是租赁房源需提供相关可自由支配房源的相关证明（投标时提供相关证明，包括但不限于：房屋租赁登记备案证明，房屋租赁（或经营或运营）合同），合同租赁（经营或运营）期限须覆盖采购人的租赁期限】。</w:t>
            </w:r>
          </w:p>
        </w:tc>
        <w:tc>
          <w:tcPr>
            <w:tcW w:w="2087" w:type="dxa"/>
            <w:shd w:val="clear" w:color="auto" w:fill="auto"/>
            <w:noWrap w:val="0"/>
            <w:vAlign w:val="top"/>
          </w:tcPr>
          <w:p>
            <w:pPr>
              <w:keepNext w:val="0"/>
              <w:keepLines w:val="0"/>
              <w:suppressLineNumbers w:val="0"/>
              <w:spacing w:before="0" w:beforeAutospacing="0" w:after="0" w:afterAutospacing="0"/>
              <w:ind w:left="0" w:right="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shd w:val="clear" w:color="auto" w:fill="auto"/>
            <w:noWrap w:val="0"/>
            <w:vAlign w:val="top"/>
          </w:tcPr>
          <w:p>
            <w:pPr>
              <w:keepNext w:val="0"/>
              <w:keepLines w:val="0"/>
              <w:suppressLineNumbers w:val="0"/>
              <w:spacing w:before="0" w:beforeAutospacing="0" w:after="0" w:afterAutospacing="0"/>
              <w:ind w:left="0" w:right="0"/>
              <w:rPr>
                <w:rFonts w:hint="default" w:cs="Times New Roman"/>
              </w:rPr>
            </w:pPr>
            <w:r>
              <w:rPr>
                <w:rFonts w:hint="eastAsia" w:cs="Times New Roman"/>
              </w:rPr>
              <w:t>2、24小时的保安巡逻，防火通道、楼梯、大院等公共区域配置24小时的监控设备。</w:t>
            </w:r>
          </w:p>
        </w:tc>
        <w:tc>
          <w:tcPr>
            <w:tcW w:w="2087" w:type="dxa"/>
            <w:shd w:val="clear" w:color="auto" w:fill="auto"/>
            <w:noWrap w:val="0"/>
            <w:vAlign w:val="top"/>
          </w:tcPr>
          <w:p>
            <w:pPr>
              <w:keepNext w:val="0"/>
              <w:keepLines w:val="0"/>
              <w:suppressLineNumbers w:val="0"/>
              <w:spacing w:before="0" w:beforeAutospacing="0" w:after="0" w:afterAutospacing="0"/>
              <w:ind w:left="0" w:right="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shd w:val="clear" w:color="auto" w:fill="auto"/>
            <w:noWrap w:val="0"/>
            <w:vAlign w:val="top"/>
          </w:tcPr>
          <w:p>
            <w:pPr>
              <w:keepNext w:val="0"/>
              <w:keepLines w:val="0"/>
              <w:suppressLineNumbers w:val="0"/>
              <w:spacing w:before="0" w:beforeAutospacing="0" w:after="0" w:afterAutospacing="0" w:line="360" w:lineRule="auto"/>
              <w:ind w:left="0" w:right="0"/>
              <w:rPr>
                <w:rFonts w:hint="default" w:cs="Times New Roman"/>
              </w:rPr>
            </w:pPr>
            <w:r>
              <w:rPr>
                <w:rFonts w:hint="eastAsia" w:cs="Times New Roman"/>
              </w:rPr>
              <w:t>3、小区物业管理</w:t>
            </w:r>
          </w:p>
        </w:tc>
        <w:tc>
          <w:tcPr>
            <w:tcW w:w="2087" w:type="dxa"/>
            <w:shd w:val="clear" w:color="auto" w:fill="auto"/>
            <w:noWrap w:val="0"/>
            <w:vAlign w:val="top"/>
          </w:tcPr>
          <w:p>
            <w:pPr>
              <w:keepNext w:val="0"/>
              <w:keepLines w:val="0"/>
              <w:suppressLineNumbers w:val="0"/>
              <w:spacing w:before="0" w:beforeAutospacing="0" w:after="0" w:afterAutospacing="0" w:line="360" w:lineRule="auto"/>
              <w:ind w:left="0" w:right="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shd w:val="clear" w:color="auto" w:fill="auto"/>
            <w:noWrap w:val="0"/>
            <w:vAlign w:val="top"/>
          </w:tcPr>
          <w:p>
            <w:pPr>
              <w:keepNext w:val="0"/>
              <w:keepLines w:val="0"/>
              <w:suppressLineNumbers w:val="0"/>
              <w:spacing w:before="0" w:beforeAutospacing="0" w:after="0" w:afterAutospacing="0" w:line="360" w:lineRule="auto"/>
              <w:ind w:left="0" w:right="0"/>
              <w:rPr>
                <w:rFonts w:hint="default" w:cs="Times New Roman"/>
              </w:rPr>
            </w:pPr>
            <w:r>
              <w:rPr>
                <w:rFonts w:hint="eastAsia" w:cs="Times New Roman"/>
              </w:rPr>
              <w:t>4、配备灭火器、防</w:t>
            </w:r>
            <w:bookmarkStart w:id="0" w:name="_GoBack"/>
            <w:bookmarkEnd w:id="0"/>
            <w:r>
              <w:rPr>
                <w:rFonts w:hint="eastAsia" w:cs="Times New Roman"/>
              </w:rPr>
              <w:t>毒面具、烟雾报警器</w:t>
            </w:r>
          </w:p>
        </w:tc>
        <w:tc>
          <w:tcPr>
            <w:tcW w:w="2087" w:type="dxa"/>
            <w:shd w:val="clear" w:color="auto" w:fill="auto"/>
            <w:noWrap w:val="0"/>
            <w:vAlign w:val="top"/>
          </w:tcPr>
          <w:p>
            <w:pPr>
              <w:keepNext w:val="0"/>
              <w:keepLines w:val="0"/>
              <w:suppressLineNumbers w:val="0"/>
              <w:spacing w:before="0" w:beforeAutospacing="0" w:after="0" w:afterAutospacing="0" w:line="360" w:lineRule="auto"/>
              <w:ind w:left="0" w:right="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shd w:val="clear" w:color="auto" w:fill="auto"/>
            <w:noWrap w:val="0"/>
            <w:vAlign w:val="top"/>
          </w:tcPr>
          <w:p>
            <w:pPr>
              <w:keepNext w:val="0"/>
              <w:keepLines w:val="0"/>
              <w:suppressLineNumbers w:val="0"/>
              <w:spacing w:before="0" w:beforeAutospacing="0" w:after="0" w:afterAutospacing="0" w:line="360" w:lineRule="auto"/>
              <w:ind w:left="0" w:right="0"/>
              <w:rPr>
                <w:rFonts w:hint="default" w:cs="Times New Roman"/>
              </w:rPr>
            </w:pPr>
            <w:r>
              <w:rPr>
                <w:rFonts w:hint="eastAsia" w:cs="Times New Roman"/>
              </w:rPr>
              <w:t>5、房屋具有消防栓、前后消防楼梯</w:t>
            </w:r>
          </w:p>
        </w:tc>
        <w:tc>
          <w:tcPr>
            <w:tcW w:w="2087" w:type="dxa"/>
            <w:shd w:val="clear" w:color="auto" w:fill="auto"/>
            <w:noWrap w:val="0"/>
            <w:vAlign w:val="top"/>
          </w:tcPr>
          <w:p>
            <w:pPr>
              <w:keepNext w:val="0"/>
              <w:keepLines w:val="0"/>
              <w:suppressLineNumbers w:val="0"/>
              <w:spacing w:before="0" w:beforeAutospacing="0" w:after="0" w:afterAutospacing="0" w:line="360" w:lineRule="auto"/>
              <w:ind w:left="0" w:right="0"/>
              <w:rPr>
                <w:rFonts w:hint="default"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6" w:type="dxa"/>
            <w:shd w:val="clear" w:color="auto" w:fill="auto"/>
            <w:noWrap w:val="0"/>
            <w:vAlign w:val="top"/>
          </w:tcPr>
          <w:p>
            <w:pPr>
              <w:keepNext w:val="0"/>
              <w:keepLines w:val="0"/>
              <w:suppressLineNumbers w:val="0"/>
              <w:spacing w:before="0" w:beforeAutospacing="0" w:after="0" w:afterAutospacing="0" w:line="360" w:lineRule="auto"/>
              <w:ind w:left="0" w:right="0"/>
              <w:rPr>
                <w:rFonts w:hint="default" w:cs="Times New Roman"/>
              </w:rPr>
            </w:pPr>
            <w:r>
              <w:rPr>
                <w:rFonts w:hint="eastAsia" w:cs="Times New Roman"/>
              </w:rPr>
              <w:t>6、房屋具有电梯</w:t>
            </w:r>
          </w:p>
        </w:tc>
        <w:tc>
          <w:tcPr>
            <w:tcW w:w="2087" w:type="dxa"/>
            <w:shd w:val="clear" w:color="auto" w:fill="auto"/>
            <w:noWrap w:val="0"/>
            <w:vAlign w:val="top"/>
          </w:tcPr>
          <w:p>
            <w:pPr>
              <w:keepNext w:val="0"/>
              <w:keepLines w:val="0"/>
              <w:suppressLineNumbers w:val="0"/>
              <w:spacing w:before="0" w:beforeAutospacing="0" w:after="0" w:afterAutospacing="0" w:line="360" w:lineRule="auto"/>
              <w:ind w:left="0" w:right="0"/>
              <w:rPr>
                <w:rFonts w:hint="default" w:cs="Times New Roman"/>
              </w:rPr>
            </w:pPr>
          </w:p>
        </w:tc>
      </w:tr>
    </w:tbl>
    <w:p/>
    <w:p>
      <w:pPr>
        <w:numPr>
          <w:ilvl w:val="0"/>
          <w:numId w:val="2"/>
        </w:numPr>
        <w:spacing w:line="360" w:lineRule="auto"/>
        <w:rPr>
          <w:rFonts w:hint="eastAsia"/>
        </w:rPr>
      </w:pPr>
      <w:r>
        <w:rPr>
          <w:rFonts w:hint="eastAsia"/>
        </w:rPr>
        <w:t>详细配置（根据实际情况请填写)</w:t>
      </w:r>
    </w:p>
    <w:p>
      <w:pPr>
        <w:numPr>
          <w:ilvl w:val="0"/>
          <w:numId w:val="3"/>
        </w:numPr>
        <w:spacing w:line="360" w:lineRule="auto"/>
        <w:rPr>
          <w:rFonts w:hint="eastAsia"/>
        </w:rPr>
      </w:pPr>
      <w:r>
        <w:rPr>
          <w:rFonts w:hint="eastAsia"/>
        </w:rPr>
        <w:t>仓库地址（附百度/高德地图截图）：</w:t>
      </w:r>
      <w:r>
        <w:rPr>
          <w:rFonts w:hint="eastAsia"/>
          <w:u w:val="single"/>
        </w:rPr>
        <w:t xml:space="preserve">                                    </w:t>
      </w:r>
      <w:r>
        <w:rPr>
          <w:rFonts w:hint="eastAsia"/>
        </w:rPr>
        <w:t>（详细地址）</w:t>
      </w:r>
    </w:p>
    <w:p>
      <w:pPr>
        <w:spacing w:line="360" w:lineRule="auto"/>
        <w:ind w:firstLine="420" w:firstLineChars="200"/>
        <w:rPr>
          <w:rFonts w:hint="eastAsia"/>
        </w:rPr>
      </w:pPr>
      <w:r>
        <w:rPr>
          <w:rFonts w:hint="eastAsia"/>
        </w:rPr>
        <w:t>距离珠江新城院区（金穗路9号）行车距离</w:t>
      </w:r>
      <w:r>
        <w:rPr>
          <w:rFonts w:hint="eastAsia"/>
          <w:u w:val="single"/>
        </w:rPr>
        <w:t xml:space="preserve">             </w:t>
      </w:r>
      <w:r>
        <w:rPr>
          <w:rFonts w:hint="eastAsia"/>
        </w:rPr>
        <w:t>公里。</w:t>
      </w:r>
    </w:p>
    <w:p>
      <w:pPr>
        <w:spacing w:line="360" w:lineRule="auto"/>
        <w:ind w:firstLine="420" w:firstLineChars="200"/>
        <w:rPr>
          <w:rFonts w:hint="eastAsia"/>
        </w:rPr>
      </w:pPr>
      <w:r>
        <w:rPr>
          <w:rFonts w:hint="eastAsia"/>
        </w:rPr>
        <w:t>距离儿童院区（人民中路318号）行车距离</w:t>
      </w:r>
      <w:r>
        <w:rPr>
          <w:rFonts w:hint="eastAsia"/>
          <w:u w:val="single"/>
        </w:rPr>
        <w:t xml:space="preserve">             </w:t>
      </w:r>
      <w:r>
        <w:rPr>
          <w:rFonts w:hint="eastAsia"/>
        </w:rPr>
        <w:t>公里。</w:t>
      </w:r>
    </w:p>
    <w:p>
      <w:pPr>
        <w:spacing w:line="360" w:lineRule="auto"/>
        <w:ind w:firstLine="420" w:firstLineChars="200"/>
        <w:rPr>
          <w:rFonts w:hint="eastAsia"/>
        </w:rPr>
      </w:pPr>
      <w:r>
        <w:rPr>
          <w:rFonts w:hint="eastAsia"/>
        </w:rPr>
        <w:t>距离妇婴院区（人民中路402号）行车距离</w:t>
      </w:r>
      <w:r>
        <w:rPr>
          <w:rFonts w:hint="eastAsia"/>
          <w:u w:val="single"/>
        </w:rPr>
        <w:t xml:space="preserve">             </w:t>
      </w:r>
      <w:r>
        <w:rPr>
          <w:rFonts w:hint="eastAsia"/>
        </w:rPr>
        <w:t>公里。</w:t>
      </w:r>
    </w:p>
    <w:p>
      <w:pPr>
        <w:spacing w:line="360" w:lineRule="auto"/>
        <w:ind w:firstLine="420" w:firstLineChars="200"/>
        <w:rPr>
          <w:rFonts w:hint="eastAsia"/>
        </w:rPr>
      </w:pPr>
      <w:r>
        <w:rPr>
          <w:rFonts w:hint="eastAsia"/>
        </w:rPr>
        <w:t>距离白云院区（新市新达路91-93号）行车距离</w:t>
      </w:r>
      <w:r>
        <w:rPr>
          <w:rFonts w:hint="eastAsia"/>
          <w:u w:val="single"/>
        </w:rPr>
        <w:t xml:space="preserve">             </w:t>
      </w:r>
      <w:r>
        <w:rPr>
          <w:rFonts w:hint="eastAsia"/>
        </w:rPr>
        <w:t>公里。</w:t>
      </w:r>
    </w:p>
    <w:p>
      <w:pPr>
        <w:spacing w:line="360" w:lineRule="auto"/>
        <w:ind w:firstLine="420" w:firstLineChars="200"/>
        <w:rPr>
          <w:rFonts w:hint="eastAsia"/>
        </w:rPr>
      </w:pPr>
      <w:r>
        <w:rPr>
          <w:rFonts w:hint="eastAsia"/>
        </w:rPr>
        <w:t>距离增城院区（增城大道293号）行车距离</w:t>
      </w:r>
      <w:r>
        <w:rPr>
          <w:rFonts w:hint="eastAsia"/>
          <w:u w:val="single"/>
        </w:rPr>
        <w:t xml:space="preserve">             </w:t>
      </w:r>
      <w:r>
        <w:rPr>
          <w:rFonts w:hint="eastAsia"/>
        </w:rPr>
        <w:t>公里。</w:t>
      </w:r>
    </w:p>
    <w:p>
      <w:pPr>
        <w:spacing w:line="360" w:lineRule="auto"/>
      </w:pPr>
      <w:r>
        <w:rPr>
          <w:rFonts w:hint="eastAsia"/>
        </w:rPr>
        <w:t xml:space="preserve">    距离高速路口</w:t>
      </w:r>
      <w:r>
        <w:rPr>
          <w:rFonts w:hint="eastAsia"/>
          <w:u w:val="single"/>
        </w:rPr>
        <w:t xml:space="preserve">            </w:t>
      </w:r>
      <w:r>
        <w:rPr>
          <w:rFonts w:hint="eastAsia"/>
        </w:rPr>
        <w:t>米，距离地铁口距离</w:t>
      </w:r>
      <w:r>
        <w:rPr>
          <w:rFonts w:hint="eastAsia"/>
          <w:u w:val="single"/>
        </w:rPr>
        <w:t xml:space="preserve">             </w:t>
      </w:r>
      <w:r>
        <w:rPr>
          <w:rFonts w:hint="eastAsia"/>
        </w:rPr>
        <w:t>米。</w:t>
      </w:r>
    </w:p>
    <w:p>
      <w:pPr>
        <w:numPr>
          <w:ilvl w:val="0"/>
          <w:numId w:val="3"/>
        </w:numPr>
        <w:spacing w:line="360" w:lineRule="auto"/>
        <w:rPr>
          <w:rFonts w:hint="eastAsia"/>
          <w:u w:val="single"/>
        </w:rPr>
      </w:pPr>
      <w:r>
        <w:rPr>
          <w:rFonts w:hint="eastAsia"/>
        </w:rPr>
        <w:t>物业层数共</w:t>
      </w:r>
      <w:r>
        <w:rPr>
          <w:rFonts w:hint="eastAsia"/>
          <w:u w:val="single"/>
        </w:rPr>
        <w:t xml:space="preserve">       </w:t>
      </w:r>
      <w:r>
        <w:rPr>
          <w:rFonts w:hint="eastAsia"/>
        </w:rPr>
        <w:t>层，所投房屋位于</w:t>
      </w:r>
      <w:r>
        <w:rPr>
          <w:rFonts w:hint="eastAsia"/>
          <w:u w:val="single"/>
        </w:rPr>
        <w:t xml:space="preserve">           </w:t>
      </w:r>
      <w:r>
        <w:rPr>
          <w:rFonts w:hint="eastAsia"/>
        </w:rPr>
        <w:t>层。</w:t>
      </w:r>
    </w:p>
    <w:p>
      <w:pPr>
        <w:numPr>
          <w:ilvl w:val="0"/>
          <w:numId w:val="3"/>
        </w:numPr>
        <w:spacing w:line="360" w:lineRule="auto"/>
      </w:pPr>
      <w:r>
        <w:rPr>
          <w:rFonts w:hint="eastAsia"/>
        </w:rPr>
        <w:t>物业性质：</w:t>
      </w:r>
      <w:r>
        <w:rPr>
          <w:rStyle w:val="10"/>
          <w:rFonts w:hint="eastAsia" w:ascii="宋体" w:hAnsi="宋体" w:cs="宋体"/>
          <w:szCs w:val="21"/>
          <w:lang w:bidi="ar"/>
        </w:rPr>
        <w:t>商业（    ）     住宅（    ）   其他（   ）</w:t>
      </w:r>
      <w:r>
        <w:rPr>
          <w:rStyle w:val="10"/>
          <w:rFonts w:hint="eastAsia" w:ascii="宋体" w:hAnsi="宋体" w:cs="宋体"/>
          <w:szCs w:val="21"/>
          <w:u w:val="single"/>
          <w:lang w:bidi="ar"/>
        </w:rPr>
        <w:t xml:space="preserve">          </w:t>
      </w:r>
    </w:p>
    <w:p>
      <w:pPr>
        <w:numPr>
          <w:ilvl w:val="0"/>
          <w:numId w:val="3"/>
        </w:numPr>
        <w:spacing w:line="360" w:lineRule="auto"/>
      </w:pPr>
      <w:r>
        <w:rPr>
          <w:rFonts w:hint="eastAsia"/>
        </w:rPr>
        <w:t>总面积：</w:t>
      </w:r>
      <w:r>
        <w:rPr>
          <w:rFonts w:hint="eastAsia"/>
          <w:u w:val="single"/>
        </w:rPr>
        <w:t xml:space="preserve">                </w:t>
      </w:r>
      <w:r>
        <w:rPr>
          <w:rFonts w:hint="eastAsia" w:ascii="宋体" w:hAnsi="宋体" w:cs="宋体"/>
          <w:szCs w:val="21"/>
          <w:lang w:bidi="ar"/>
        </w:rPr>
        <w:t>平方米</w:t>
      </w:r>
    </w:p>
    <w:p>
      <w:pPr>
        <w:numPr>
          <w:ilvl w:val="0"/>
          <w:numId w:val="3"/>
        </w:numPr>
        <w:spacing w:line="360" w:lineRule="auto"/>
      </w:pPr>
      <w:r>
        <w:rPr>
          <w:rFonts w:hint="eastAsia"/>
        </w:rPr>
        <w:t>是否有卫生间：是（   ）  否（    ）</w:t>
      </w:r>
    </w:p>
    <w:p>
      <w:pPr>
        <w:numPr>
          <w:ilvl w:val="0"/>
          <w:numId w:val="3"/>
        </w:numPr>
        <w:spacing w:line="360" w:lineRule="auto"/>
      </w:pPr>
      <w:r>
        <w:rPr>
          <w:rFonts w:hint="eastAsia"/>
        </w:rPr>
        <w:t>其他情况补充说明：</w:t>
      </w:r>
      <w:r>
        <w:rPr>
          <w:rFonts w:hint="eastAsia"/>
          <w:u w:val="single"/>
        </w:rPr>
        <w:t xml:space="preserve">                                           </w:t>
      </w:r>
    </w:p>
    <w:p>
      <w:pPr>
        <w:numPr>
          <w:ilvl w:val="0"/>
          <w:numId w:val="1"/>
        </w:numPr>
        <w:rPr>
          <w:rFonts w:hint="eastAsia" w:ascii="Times New Roman" w:hAnsi="宋体" w:cs="宋体"/>
          <w:b/>
          <w:kern w:val="0"/>
          <w:sz w:val="24"/>
          <w:lang w:bidi="ar"/>
        </w:rPr>
      </w:pPr>
      <w:r>
        <w:rPr>
          <w:rFonts w:hint="eastAsia" w:ascii="Times New Roman" w:hAnsi="宋体" w:cs="宋体"/>
          <w:b/>
          <w:kern w:val="0"/>
          <w:sz w:val="24"/>
          <w:lang w:bidi="ar"/>
        </w:rPr>
        <w:t>报价：</w:t>
      </w:r>
    </w:p>
    <w:p>
      <w:pPr>
        <w:numPr>
          <w:ilvl w:val="0"/>
          <w:numId w:val="4"/>
        </w:numPr>
        <w:spacing w:line="360" w:lineRule="auto"/>
      </w:pPr>
      <w:r>
        <w:rPr>
          <w:rFonts w:hint="eastAsia"/>
        </w:rPr>
        <w:t>本项目投标报价包括但不限于房屋租赁、管理费、电梯维护费、房屋水电维修费用及税费（包括交易税费）等费用。</w:t>
      </w:r>
    </w:p>
    <w:p>
      <w:pPr>
        <w:spacing w:line="360" w:lineRule="auto"/>
        <w:rPr>
          <w:rFonts w:hint="eastAsia"/>
          <w:color w:val="FF0000"/>
        </w:rPr>
      </w:pPr>
      <w:r>
        <w:rPr>
          <w:rFonts w:hint="eastAsia"/>
        </w:rPr>
        <w:t>2、报价表：</w:t>
      </w:r>
    </w:p>
    <w:tbl>
      <w:tblPr>
        <w:tblStyle w:val="4"/>
        <w:tblW w:w="6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526"/>
        <w:gridCol w:w="2592"/>
        <w:gridCol w:w="2182"/>
        <w:gridCol w:w="2000"/>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6" w:type="pct"/>
            <w:tcBorders>
              <w:top w:val="single" w:color="auto" w:sz="12" w:space="0"/>
              <w:left w:val="single" w:color="auto" w:sz="4" w:space="0"/>
              <w:bottom w:val="single" w:color="auto" w:sz="4" w:space="0"/>
              <w:right w:val="single" w:color="auto" w:sz="4" w:space="0"/>
            </w:tcBorders>
            <w:noWrap w:val="0"/>
            <w:vAlign w:val="center"/>
          </w:tcPr>
          <w:p>
            <w:pPr>
              <w:pStyle w:val="11"/>
              <w:widowControl/>
              <w:snapToGrid w:val="0"/>
              <w:ind w:firstLine="31" w:firstLineChars="13"/>
              <w:jc w:val="center"/>
              <w:rPr>
                <w:rFonts w:hint="eastAsia" w:ascii="宋体" w:cs="Times New Roman"/>
                <w:bCs/>
                <w:sz w:val="24"/>
              </w:rPr>
            </w:pPr>
            <w:r>
              <w:rPr>
                <w:rFonts w:hint="eastAsia" w:ascii="宋体" w:cs="Times New Roman"/>
                <w:bCs/>
                <w:sz w:val="24"/>
              </w:rPr>
              <w:t>服务内容</w:t>
            </w:r>
          </w:p>
        </w:tc>
        <w:tc>
          <w:tcPr>
            <w:tcW w:w="237" w:type="pct"/>
            <w:tcBorders>
              <w:top w:val="single" w:color="auto" w:sz="12" w:space="0"/>
              <w:left w:val="single" w:color="auto" w:sz="4" w:space="0"/>
              <w:bottom w:val="single" w:color="auto" w:sz="4" w:space="0"/>
              <w:right w:val="single" w:color="auto" w:sz="4" w:space="0"/>
            </w:tcBorders>
            <w:noWrap w:val="0"/>
            <w:vAlign w:val="center"/>
          </w:tcPr>
          <w:p>
            <w:pPr>
              <w:pStyle w:val="11"/>
              <w:widowControl/>
              <w:snapToGrid w:val="0"/>
              <w:jc w:val="center"/>
              <w:rPr>
                <w:rFonts w:hint="eastAsia" w:ascii="宋体" w:cs="Times New Roman"/>
                <w:bCs/>
                <w:sz w:val="24"/>
              </w:rPr>
            </w:pPr>
            <w:r>
              <w:rPr>
                <w:rFonts w:hint="eastAsia" w:ascii="宋体" w:cs="Times New Roman"/>
                <w:bCs/>
                <w:sz w:val="24"/>
              </w:rPr>
              <w:t>数量</w:t>
            </w:r>
          </w:p>
        </w:tc>
        <w:tc>
          <w:tcPr>
            <w:tcW w:w="1170" w:type="pct"/>
            <w:tcBorders>
              <w:top w:val="single" w:color="auto" w:sz="12" w:space="0"/>
              <w:left w:val="single" w:color="auto" w:sz="4" w:space="0"/>
              <w:bottom w:val="single" w:color="auto" w:sz="4" w:space="0"/>
              <w:right w:val="single" w:color="auto" w:sz="4" w:space="0"/>
            </w:tcBorders>
            <w:noWrap w:val="0"/>
            <w:vAlign w:val="center"/>
          </w:tcPr>
          <w:p>
            <w:pPr>
              <w:pStyle w:val="11"/>
              <w:widowControl/>
              <w:snapToGrid w:val="0"/>
              <w:jc w:val="center"/>
              <w:rPr>
                <w:rFonts w:hint="eastAsia" w:ascii="宋体" w:cs="Times New Roman"/>
                <w:bCs/>
                <w:sz w:val="24"/>
              </w:rPr>
            </w:pPr>
            <w:r>
              <w:rPr>
                <w:rFonts w:hint="eastAsia" w:ascii="宋体" w:cs="Times New Roman"/>
                <w:bCs/>
                <w:sz w:val="24"/>
              </w:rPr>
              <w:t>单价                    （人民币：元/平方米）</w:t>
            </w:r>
          </w:p>
        </w:tc>
        <w:tc>
          <w:tcPr>
            <w:tcW w:w="985" w:type="pct"/>
            <w:tcBorders>
              <w:top w:val="single" w:color="auto" w:sz="12" w:space="0"/>
              <w:left w:val="single" w:color="auto" w:sz="4" w:space="0"/>
              <w:bottom w:val="single" w:color="auto" w:sz="4" w:space="0"/>
              <w:right w:val="single" w:color="auto" w:sz="4" w:space="0"/>
            </w:tcBorders>
            <w:noWrap w:val="0"/>
            <w:vAlign w:val="center"/>
          </w:tcPr>
          <w:p>
            <w:pPr>
              <w:pStyle w:val="11"/>
              <w:widowControl/>
              <w:snapToGrid w:val="0"/>
              <w:jc w:val="center"/>
              <w:rPr>
                <w:rFonts w:hint="eastAsia" w:ascii="宋体" w:cs="Times New Roman"/>
                <w:bCs/>
                <w:sz w:val="24"/>
              </w:rPr>
            </w:pPr>
            <w:r>
              <w:rPr>
                <w:rFonts w:hint="eastAsia" w:ascii="宋体" w:cs="Times New Roman"/>
                <w:bCs/>
                <w:sz w:val="24"/>
              </w:rPr>
              <w:t>月租                  （人民币：元/月）</w:t>
            </w:r>
          </w:p>
        </w:tc>
        <w:tc>
          <w:tcPr>
            <w:tcW w:w="903" w:type="pct"/>
            <w:tcBorders>
              <w:top w:val="single" w:color="auto" w:sz="12" w:space="0"/>
              <w:left w:val="single" w:color="auto" w:sz="4" w:space="0"/>
              <w:bottom w:val="single" w:color="auto" w:sz="4" w:space="0"/>
              <w:right w:val="single" w:color="auto" w:sz="4" w:space="0"/>
            </w:tcBorders>
            <w:noWrap w:val="0"/>
            <w:vAlign w:val="center"/>
          </w:tcPr>
          <w:p>
            <w:pPr>
              <w:pStyle w:val="11"/>
              <w:widowControl/>
              <w:snapToGrid w:val="0"/>
              <w:jc w:val="center"/>
              <w:rPr>
                <w:rFonts w:hint="eastAsia" w:ascii="宋体" w:hAnsi="宋体" w:cs="Times New Roman"/>
                <w:bCs/>
                <w:sz w:val="24"/>
              </w:rPr>
            </w:pPr>
            <w:r>
              <w:rPr>
                <w:rFonts w:hint="eastAsia" w:ascii="宋体" w:hAnsi="宋体" w:cs="Times New Roman"/>
                <w:bCs/>
                <w:sz w:val="24"/>
              </w:rPr>
              <w:t xml:space="preserve">总价                  </w:t>
            </w:r>
            <w:r>
              <w:rPr>
                <w:rFonts w:hint="eastAsia" w:ascii="宋体" w:cs="Times New Roman"/>
                <w:bCs/>
                <w:sz w:val="24"/>
              </w:rPr>
              <w:t>（人民币：元）</w:t>
            </w:r>
          </w:p>
        </w:tc>
        <w:tc>
          <w:tcPr>
            <w:tcW w:w="697" w:type="pct"/>
            <w:tcBorders>
              <w:top w:val="single" w:color="auto" w:sz="12" w:space="0"/>
              <w:left w:val="single" w:color="auto" w:sz="4" w:space="0"/>
              <w:bottom w:val="single" w:color="auto" w:sz="4" w:space="0"/>
              <w:right w:val="single" w:color="auto" w:sz="4" w:space="0"/>
            </w:tcBorders>
            <w:noWrap w:val="0"/>
            <w:vAlign w:val="center"/>
          </w:tcPr>
          <w:p>
            <w:pPr>
              <w:pStyle w:val="11"/>
              <w:widowControl/>
              <w:snapToGrid w:val="0"/>
              <w:jc w:val="center"/>
              <w:rPr>
                <w:rFonts w:hint="eastAsia" w:ascii="宋体" w:hAnsi="宋体" w:cs="Times New Roman"/>
                <w:bCs/>
                <w:sz w:val="24"/>
              </w:rPr>
            </w:pPr>
            <w:r>
              <w:rPr>
                <w:rFonts w:hint="eastAsia" w:ascii="宋体" w:hAnsi="宋体" w:cs="Times New Roman"/>
                <w:bCs/>
                <w:sz w:val="24"/>
              </w:rPr>
              <w:t>租期（两年）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6" w:type="pct"/>
            <w:tcBorders>
              <w:top w:val="single" w:color="auto" w:sz="4" w:space="0"/>
              <w:left w:val="single" w:color="auto" w:sz="4" w:space="0"/>
              <w:bottom w:val="single" w:color="auto" w:sz="12" w:space="0"/>
              <w:right w:val="single" w:color="auto" w:sz="4" w:space="0"/>
            </w:tcBorders>
            <w:noWrap w:val="0"/>
            <w:vAlign w:val="center"/>
          </w:tcPr>
          <w:p>
            <w:pPr>
              <w:pStyle w:val="11"/>
              <w:widowControl/>
              <w:snapToGrid w:val="0"/>
              <w:ind w:firstLine="31" w:firstLineChars="13"/>
              <w:jc w:val="center"/>
              <w:rPr>
                <w:rFonts w:hint="eastAsia" w:ascii="宋体" w:cs="Times New Roman"/>
                <w:bCs/>
                <w:sz w:val="24"/>
              </w:rPr>
            </w:pPr>
            <w:r>
              <w:rPr>
                <w:rFonts w:hint="eastAsia"/>
                <w:sz w:val="24"/>
                <w:szCs w:val="24"/>
              </w:rPr>
              <w:t>周转仓库租赁项目</w:t>
            </w:r>
          </w:p>
        </w:tc>
        <w:tc>
          <w:tcPr>
            <w:tcW w:w="237" w:type="pct"/>
            <w:tcBorders>
              <w:top w:val="single" w:color="auto" w:sz="4" w:space="0"/>
              <w:left w:val="single" w:color="auto" w:sz="4" w:space="0"/>
              <w:bottom w:val="single" w:color="auto" w:sz="12" w:space="0"/>
              <w:right w:val="single" w:color="auto" w:sz="4" w:space="0"/>
            </w:tcBorders>
            <w:noWrap w:val="0"/>
            <w:vAlign w:val="center"/>
          </w:tcPr>
          <w:p>
            <w:pPr>
              <w:pStyle w:val="11"/>
              <w:widowControl/>
              <w:snapToGrid w:val="0"/>
              <w:jc w:val="center"/>
              <w:rPr>
                <w:rFonts w:hint="eastAsia" w:ascii="宋体" w:cs="Times New Roman"/>
                <w:bCs/>
                <w:sz w:val="24"/>
              </w:rPr>
            </w:pPr>
            <w:r>
              <w:rPr>
                <w:rFonts w:hint="eastAsia" w:ascii="宋体" w:cs="Times New Roman"/>
                <w:bCs/>
                <w:sz w:val="24"/>
              </w:rPr>
              <w:t>1项</w:t>
            </w:r>
          </w:p>
        </w:tc>
        <w:tc>
          <w:tcPr>
            <w:tcW w:w="1170" w:type="pct"/>
            <w:tcBorders>
              <w:top w:val="single" w:color="auto" w:sz="4" w:space="0"/>
              <w:left w:val="single" w:color="auto" w:sz="4" w:space="0"/>
              <w:bottom w:val="single" w:color="auto" w:sz="12" w:space="0"/>
              <w:right w:val="single" w:color="auto" w:sz="4" w:space="0"/>
            </w:tcBorders>
            <w:noWrap w:val="0"/>
            <w:vAlign w:val="center"/>
          </w:tcPr>
          <w:p>
            <w:pPr>
              <w:pStyle w:val="12"/>
              <w:widowControl/>
              <w:spacing w:before="0" w:after="0" w:line="240" w:lineRule="auto"/>
              <w:rPr>
                <w:rFonts w:hint="eastAsia" w:ascii="宋体" w:hAnsi="宋体" w:cs="Times New Roman"/>
                <w:spacing w:val="0"/>
                <w:szCs w:val="24"/>
              </w:rPr>
            </w:pPr>
          </w:p>
        </w:tc>
        <w:tc>
          <w:tcPr>
            <w:tcW w:w="985" w:type="pct"/>
            <w:tcBorders>
              <w:top w:val="single" w:color="auto" w:sz="4" w:space="0"/>
              <w:left w:val="single" w:color="auto" w:sz="4" w:space="0"/>
              <w:bottom w:val="single" w:color="auto" w:sz="12" w:space="0"/>
              <w:right w:val="single" w:color="auto" w:sz="4" w:space="0"/>
            </w:tcBorders>
            <w:noWrap w:val="0"/>
            <w:vAlign w:val="center"/>
          </w:tcPr>
          <w:p>
            <w:pPr>
              <w:pStyle w:val="12"/>
              <w:widowControl/>
              <w:spacing w:before="0" w:after="0" w:line="240" w:lineRule="auto"/>
              <w:rPr>
                <w:rFonts w:hint="eastAsia" w:ascii="宋体" w:hAnsi="宋体" w:cs="Times New Roman"/>
                <w:spacing w:val="0"/>
                <w:szCs w:val="24"/>
              </w:rPr>
            </w:pPr>
          </w:p>
        </w:tc>
        <w:tc>
          <w:tcPr>
            <w:tcW w:w="903" w:type="pct"/>
            <w:tcBorders>
              <w:top w:val="single" w:color="auto" w:sz="4" w:space="0"/>
              <w:left w:val="single" w:color="auto" w:sz="4" w:space="0"/>
              <w:bottom w:val="single" w:color="auto" w:sz="12" w:space="0"/>
              <w:right w:val="single" w:color="auto" w:sz="4" w:space="0"/>
            </w:tcBorders>
            <w:noWrap w:val="0"/>
            <w:vAlign w:val="center"/>
          </w:tcPr>
          <w:p>
            <w:pPr>
              <w:pStyle w:val="12"/>
              <w:widowControl/>
              <w:spacing w:before="0" w:after="0" w:line="240" w:lineRule="auto"/>
              <w:rPr>
                <w:rFonts w:hint="eastAsia" w:ascii="宋体" w:hAnsi="宋体" w:cs="Times New Roman"/>
                <w:spacing w:val="0"/>
                <w:szCs w:val="24"/>
              </w:rPr>
            </w:pPr>
          </w:p>
        </w:tc>
        <w:tc>
          <w:tcPr>
            <w:tcW w:w="697" w:type="pct"/>
            <w:tcBorders>
              <w:top w:val="single" w:color="auto" w:sz="4" w:space="0"/>
              <w:left w:val="single" w:color="auto" w:sz="4" w:space="0"/>
              <w:bottom w:val="single" w:color="auto" w:sz="12" w:space="0"/>
              <w:right w:val="single" w:color="auto" w:sz="4" w:space="0"/>
            </w:tcBorders>
            <w:noWrap w:val="0"/>
            <w:vAlign w:val="center"/>
          </w:tcPr>
          <w:p>
            <w:pPr>
              <w:pStyle w:val="12"/>
              <w:widowControl/>
              <w:spacing w:before="0" w:after="0" w:line="240" w:lineRule="auto"/>
              <w:rPr>
                <w:rFonts w:hint="eastAsia" w:ascii="宋体" w:hAnsi="宋体" w:cs="Times New Roman"/>
                <w:spacing w:val="0"/>
                <w:szCs w:val="24"/>
              </w:rPr>
            </w:pPr>
            <w:r>
              <w:rPr>
                <w:rFonts w:hint="eastAsia" w:ascii="宋体" w:hAnsi="宋体" w:cs="Times New Roman"/>
                <w:spacing w:val="0"/>
                <w:szCs w:val="24"/>
              </w:rPr>
              <w:t>以合同签署日期</w:t>
            </w:r>
            <w:r>
              <w:rPr>
                <w:rFonts w:ascii="宋体" w:hAnsi="宋体" w:cs="Times New Roman"/>
                <w:spacing w:val="0"/>
                <w:szCs w:val="24"/>
              </w:rPr>
              <w:t>起计</w:t>
            </w:r>
          </w:p>
        </w:tc>
      </w:tr>
    </w:tbl>
    <w:p>
      <w:pPr>
        <w:spacing w:line="360" w:lineRule="auto"/>
        <w:rPr>
          <w:rFonts w:hint="eastAsia"/>
          <w:color w:val="FF0000"/>
        </w:rPr>
      </w:pPr>
    </w:p>
    <w:p>
      <w:pPr>
        <w:spacing w:line="360" w:lineRule="auto"/>
        <w:rPr>
          <w:rFonts w:hint="eastAsia"/>
          <w:color w:val="FF0000"/>
        </w:rPr>
      </w:pPr>
    </w:p>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C39D1"/>
    <w:multiLevelType w:val="singleLevel"/>
    <w:tmpl w:val="910C39D1"/>
    <w:lvl w:ilvl="0" w:tentative="0">
      <w:start w:val="1"/>
      <w:numFmt w:val="decimal"/>
      <w:suff w:val="nothing"/>
      <w:lvlText w:val="%1、"/>
      <w:lvlJc w:val="left"/>
    </w:lvl>
  </w:abstractNum>
  <w:abstractNum w:abstractNumId="1">
    <w:nsid w:val="96EC2B9A"/>
    <w:multiLevelType w:val="singleLevel"/>
    <w:tmpl w:val="96EC2B9A"/>
    <w:lvl w:ilvl="0" w:tentative="0">
      <w:start w:val="1"/>
      <w:numFmt w:val="decimal"/>
      <w:suff w:val="nothing"/>
      <w:lvlText w:val="（%1）"/>
      <w:lvlJc w:val="left"/>
    </w:lvl>
  </w:abstractNum>
  <w:abstractNum w:abstractNumId="2">
    <w:nsid w:val="A5C00464"/>
    <w:multiLevelType w:val="singleLevel"/>
    <w:tmpl w:val="A5C00464"/>
    <w:lvl w:ilvl="0" w:tentative="0">
      <w:start w:val="4"/>
      <w:numFmt w:val="chineseCounting"/>
      <w:suff w:val="nothing"/>
      <w:lvlText w:val="%1、"/>
      <w:lvlJc w:val="left"/>
      <w:rPr>
        <w:rFonts w:hint="eastAsia"/>
      </w:rPr>
    </w:lvl>
  </w:abstractNum>
  <w:abstractNum w:abstractNumId="3">
    <w:nsid w:val="36C8F375"/>
    <w:multiLevelType w:val="singleLevel"/>
    <w:tmpl w:val="36C8F375"/>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 w:name="KSO_WPS_MARK_KEY" w:val="97d3560c-e1a9-45b8-90d4-b9308b4633b0"/>
  </w:docVars>
  <w:rsids>
    <w:rsidRoot w:val="009B328F"/>
    <w:rsid w:val="001927D9"/>
    <w:rsid w:val="00723F2B"/>
    <w:rsid w:val="0091554B"/>
    <w:rsid w:val="009B328F"/>
    <w:rsid w:val="00E0545A"/>
    <w:rsid w:val="02D908B8"/>
    <w:rsid w:val="049059D0"/>
    <w:rsid w:val="09770D1B"/>
    <w:rsid w:val="0CBC262E"/>
    <w:rsid w:val="17B331B7"/>
    <w:rsid w:val="1A4A6947"/>
    <w:rsid w:val="220759AC"/>
    <w:rsid w:val="2CA56BCD"/>
    <w:rsid w:val="32A05A6D"/>
    <w:rsid w:val="4D6E392B"/>
    <w:rsid w:val="5FFC57F8"/>
    <w:rsid w:val="6ED70525"/>
    <w:rsid w:val="749F4F8A"/>
    <w:rsid w:val="789E698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9"/>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rPr>
  </w:style>
  <w:style w:type="character" w:styleId="8">
    <w:name w:val="annotation reference"/>
    <w:qFormat/>
    <w:uiPriority w:val="0"/>
    <w:rPr>
      <w:rFonts w:hint="eastAsia" w:ascii="宋体" w:hAnsi="宋体" w:eastAsia="宋体" w:cs="宋体"/>
      <w:kern w:val="2"/>
      <w:sz w:val="21"/>
      <w:szCs w:val="21"/>
      <w:lang w:val="en-US" w:eastAsia="zh-CN" w:bidi="ar"/>
    </w:rPr>
  </w:style>
  <w:style w:type="character" w:customStyle="1" w:styleId="9">
    <w:name w:val="批注文字 Char"/>
    <w:link w:val="2"/>
    <w:qFormat/>
    <w:uiPriority w:val="0"/>
    <w:rPr>
      <w:rFonts w:hint="default" w:ascii="Calibri" w:hAnsi="Calibri" w:eastAsia="宋体" w:cs="Times New Roman"/>
      <w:kern w:val="2"/>
      <w:sz w:val="21"/>
      <w:szCs w:val="24"/>
    </w:rPr>
  </w:style>
  <w:style w:type="character" w:customStyle="1" w:styleId="10">
    <w:name w:val="10"/>
    <w:qFormat/>
    <w:uiPriority w:val="0"/>
    <w:rPr>
      <w:rFonts w:hint="default" w:ascii="Times New Roman" w:hAnsi="Times New Roman" w:cs="Times New Roman"/>
    </w:rPr>
  </w:style>
  <w:style w:type="paragraph" w:customStyle="1" w:styleId="11">
    <w:name w:val="正文_0"/>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Calibri"/>
      <w:kern w:val="2"/>
      <w:sz w:val="21"/>
      <w:szCs w:val="21"/>
      <w:lang w:val="en-US" w:eastAsia="zh-CN" w:bidi="ar"/>
    </w:rPr>
  </w:style>
  <w:style w:type="paragraph" w:customStyle="1" w:styleId="12">
    <w:name w:val="图_0"/>
    <w:basedOn w:val="11"/>
    <w:qFormat/>
    <w:uiPriority w:val="0"/>
    <w:pPr>
      <w:keepNext/>
      <w:keepLines w:val="0"/>
      <w:widowControl w:val="0"/>
      <w:suppressLineNumbers w:val="0"/>
      <w:snapToGrid w:val="0"/>
      <w:spacing w:before="60" w:beforeAutospacing="0" w:after="60" w:afterAutospacing="0" w:line="300" w:lineRule="auto"/>
      <w:ind w:left="0" w:right="0"/>
      <w:jc w:val="center"/>
    </w:pPr>
    <w:rPr>
      <w:rFonts w:hint="default" w:ascii="Calibri" w:hAnsi="Calibri" w:eastAsia="宋体" w:cs="Calibri"/>
      <w:spacing w:val="20"/>
      <w:kern w:val="2"/>
      <w:sz w:val="24"/>
      <w:szCs w:val="20"/>
      <w:lang w:val="en-US" w:eastAsia="zh-CN" w:bidi="ar"/>
    </w:rPr>
  </w:style>
  <w:style w:type="paragraph" w:customStyle="1" w:styleId="13">
    <w:name w:val="纯文本_0"/>
    <w:basedOn w:val="11"/>
    <w:qFormat/>
    <w:uiPriority w:val="99"/>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1778</Words>
  <Characters>1895</Characters>
  <Lines>16</Lines>
  <Paragraphs>4</Paragraphs>
  <TotalTime>3</TotalTime>
  <ScaleCrop>false</ScaleCrop>
  <LinksUpToDate>false</LinksUpToDate>
  <CharactersWithSpaces>2237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吴瑞敏</cp:lastModifiedBy>
  <dcterms:modified xsi:type="dcterms:W3CDTF">2024-06-28T01:02:53Z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0B45CED8C74340599DC414F545C08F86_13</vt:lpwstr>
  </property>
</Properties>
</file>