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044"/>
        <w:gridCol w:w="899"/>
        <w:gridCol w:w="1049"/>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55" w:type="dxa"/>
            <w:gridSpan w:val="5"/>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仿宋_GB2312" w:hAnsi="宋体" w:eastAsia="仿宋_GB2312" w:cs="宋体"/>
                <w:b/>
                <w:sz w:val="24"/>
                <w:szCs w:val="24"/>
              </w:rPr>
            </w:pPr>
            <w:bookmarkStart w:id="0" w:name="_GoBack"/>
            <w:r>
              <w:rPr>
                <w:rFonts w:hint="eastAsia" w:ascii="宋体" w:hAnsi="宋体" w:cs="宋体"/>
                <w:b/>
                <w:bCs/>
                <w:sz w:val="30"/>
                <w:szCs w:val="30"/>
              </w:rPr>
              <w:t>附件</w:t>
            </w:r>
            <w:r>
              <w:rPr>
                <w:rFonts w:hint="eastAsia" w:ascii="宋体" w:hAnsi="宋体" w:cs="宋体"/>
                <w:b/>
                <w:bCs/>
                <w:sz w:val="30"/>
                <w:szCs w:val="30"/>
                <w:lang w:val="en-US" w:eastAsia="zh-CN"/>
              </w:rPr>
              <w:t>2</w:t>
            </w:r>
            <w:r>
              <w:rPr>
                <w:rFonts w:hint="eastAsia" w:ascii="宋体" w:hAnsi="宋体" w:cs="宋体"/>
                <w:b/>
                <w:bCs/>
                <w:sz w:val="30"/>
                <w:szCs w:val="30"/>
              </w:rPr>
              <w:t>：采购项目采购需求方案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
                <w:sz w:val="24"/>
                <w:szCs w:val="24"/>
              </w:rPr>
            </w:pPr>
            <w:r>
              <w:rPr>
                <w:rFonts w:hint="eastAsia" w:ascii="仿宋_GB2312" w:hAnsi="宋体" w:eastAsia="仿宋_GB2312" w:cs="宋体"/>
                <w:b/>
                <w:sz w:val="24"/>
                <w:szCs w:val="24"/>
              </w:rPr>
              <w:t>项号</w:t>
            </w:r>
          </w:p>
        </w:tc>
        <w:tc>
          <w:tcPr>
            <w:tcW w:w="20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4"/>
                <w:szCs w:val="24"/>
              </w:rPr>
            </w:pPr>
            <w:r>
              <w:rPr>
                <w:rFonts w:hint="eastAsia" w:ascii="仿宋_GB2312" w:hAnsi="宋体" w:eastAsia="仿宋_GB2312" w:cs="宋体"/>
                <w:b/>
                <w:sz w:val="24"/>
                <w:szCs w:val="24"/>
              </w:rPr>
              <w:t>名称</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s="宋体"/>
                <w:sz w:val="24"/>
                <w:szCs w:val="24"/>
                <w:lang w:val="en-US" w:eastAsia="zh-CN"/>
              </w:rPr>
            </w:pPr>
            <w:r>
              <w:rPr>
                <w:rFonts w:hint="eastAsia" w:ascii="仿宋_GB2312" w:hAnsi="宋体" w:eastAsia="仿宋_GB2312" w:cs="宋体"/>
                <w:b/>
                <w:sz w:val="24"/>
                <w:szCs w:val="24"/>
              </w:rPr>
              <w:t>数量</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4"/>
                <w:szCs w:val="24"/>
              </w:rPr>
            </w:pPr>
            <w:r>
              <w:rPr>
                <w:rFonts w:hint="eastAsia" w:ascii="仿宋_GB2312" w:hAnsi="宋体" w:eastAsia="仿宋_GB2312" w:cs="宋体"/>
                <w:b/>
                <w:sz w:val="24"/>
                <w:szCs w:val="24"/>
              </w:rPr>
              <w:t>单位</w:t>
            </w:r>
          </w:p>
        </w:tc>
        <w:tc>
          <w:tcPr>
            <w:tcW w:w="51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sz w:val="24"/>
                <w:szCs w:val="24"/>
              </w:rPr>
            </w:pPr>
            <w:r>
              <w:rPr>
                <w:rFonts w:hint="eastAsia" w:ascii="仿宋_GB2312" w:hAnsi="宋体" w:eastAsia="仿宋_GB2312" w:cs="宋体"/>
                <w:b/>
                <w:sz w:val="24"/>
                <w:szCs w:val="24"/>
              </w:rPr>
              <w:t>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numPr>
                <w:ilvl w:val="0"/>
                <w:numId w:val="1"/>
              </w:numPr>
              <w:ind w:left="699" w:leftChars="0" w:hanging="132" w:firstLineChars="0"/>
              <w:jc w:val="center"/>
              <w:rPr>
                <w:rFonts w:hint="eastAsia" w:ascii="仿宋_GB2312" w:hAnsi="宋体" w:eastAsia="仿宋_GB2312" w:cs="宋体"/>
              </w:rPr>
            </w:pPr>
          </w:p>
        </w:tc>
        <w:tc>
          <w:tcPr>
            <w:tcW w:w="2044"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ascii="仿宋_GB2312" w:hAnsi="宋体" w:eastAsia="仿宋_GB2312" w:cs="宋体"/>
                <w:sz w:val="24"/>
                <w:szCs w:val="24"/>
              </w:rPr>
              <w:t>广州医科大学附属妇女儿童医疗中心基金资助患儿营养品采购项目</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s="宋体"/>
                <w:sz w:val="24"/>
                <w:szCs w:val="24"/>
                <w:lang w:val="en-US" w:eastAsia="zh-CN"/>
              </w:rPr>
              <w:t>800</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s="宋体"/>
                <w:sz w:val="24"/>
                <w:szCs w:val="24"/>
              </w:rPr>
              <w:t>份</w:t>
            </w:r>
          </w:p>
        </w:tc>
        <w:tc>
          <w:tcPr>
            <w:tcW w:w="511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1.营养包产品符合为</w:t>
            </w:r>
            <w:r>
              <w:rPr>
                <w:rFonts w:hint="eastAsia" w:ascii="仿宋_GB2312" w:eastAsia="仿宋_GB2312" w:hAnsiTheme="minorEastAsia"/>
                <w:color w:val="000000" w:themeColor="text1"/>
                <w:sz w:val="24"/>
                <w:szCs w:val="24"/>
                <w:lang w:val="en-US" w:eastAsia="zh-CN"/>
                <w14:textFill>
                  <w14:solidFill>
                    <w14:schemeClr w14:val="tx1"/>
                  </w14:solidFill>
                </w14:textFill>
              </w:rPr>
              <w:t>0-18岁儿童</w:t>
            </w:r>
            <w:r>
              <w:rPr>
                <w:rFonts w:hint="eastAsia" w:ascii="仿宋_GB2312" w:eastAsia="仿宋_GB2312" w:hAnsiTheme="minorEastAsia"/>
                <w:color w:val="000000" w:themeColor="text1"/>
                <w:sz w:val="24"/>
                <w:szCs w:val="24"/>
                <w14:textFill>
                  <w14:solidFill>
                    <w14:schemeClr w14:val="tx1"/>
                  </w14:solidFill>
                </w14:textFill>
              </w:rPr>
              <w:t>提供基础营养改善支持的要求。</w:t>
            </w:r>
          </w:p>
          <w:p>
            <w:pPr>
              <w:spacing w:line="360" w:lineRule="auto"/>
              <w:jc w:val="left"/>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2.产品应当符合相关国家生产及质量标准的要求：GB22570或GB7101，如是保健食品的需取得国家市场监督管理总局批准的保健食品证书或备案证。</w:t>
            </w:r>
          </w:p>
          <w:p>
            <w:pPr>
              <w:spacing w:line="360" w:lineRule="auto"/>
              <w:jc w:val="left"/>
              <w:rPr>
                <w:rFonts w:hint="eastAsia"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3.采购份数：约</w:t>
            </w:r>
            <w:r>
              <w:rPr>
                <w:rFonts w:hint="eastAsia" w:ascii="仿宋_GB2312" w:eastAsia="仿宋_GB2312" w:hAnsiTheme="minorEastAsia"/>
                <w:color w:val="000000" w:themeColor="text1"/>
                <w:sz w:val="24"/>
                <w:szCs w:val="24"/>
                <w:lang w:val="en-US" w:eastAsia="zh-CN"/>
                <w14:textFill>
                  <w14:solidFill>
                    <w14:schemeClr w14:val="tx1"/>
                  </w14:solidFill>
                </w14:textFill>
              </w:rPr>
              <w:t>80</w:t>
            </w:r>
            <w:r>
              <w:rPr>
                <w:rFonts w:hint="eastAsia" w:ascii="仿宋_GB2312" w:eastAsia="仿宋_GB2312" w:hAnsiTheme="minorEastAsia"/>
                <w:color w:val="000000" w:themeColor="text1"/>
                <w:sz w:val="24"/>
                <w:szCs w:val="24"/>
                <w14:textFill>
                  <w14:solidFill>
                    <w14:schemeClr w14:val="tx1"/>
                  </w14:solidFill>
                </w14:textFill>
              </w:rPr>
              <w:t>0份（以实际发生例数为准）</w:t>
            </w:r>
          </w:p>
          <w:p>
            <w:pPr>
              <w:jc w:val="left"/>
            </w:pPr>
            <w:r>
              <w:rPr>
                <w:rFonts w:hint="eastAsia" w:ascii="仿宋_GB2312" w:eastAsia="仿宋_GB2312" w:hAnsiTheme="minorEastAsia"/>
                <w:color w:val="000000" w:themeColor="text1"/>
                <w:sz w:val="24"/>
                <w:szCs w:val="24"/>
                <w14:textFill>
                  <w14:solidFill>
                    <w14:schemeClr w14:val="tx1"/>
                  </w14:solidFill>
                </w14:textFill>
              </w:rPr>
              <w:t>4.营养产品招标参数：详见附件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855"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hint="eastAsia" w:ascii="仿宋_GB2312" w:hAnsi="宋体" w:eastAsia="仿宋_GB2312" w:cs="宋体"/>
                <w:bCs/>
                <w:kern w:val="0"/>
                <w:sz w:val="24"/>
                <w:szCs w:val="24"/>
                <w:lang w:bidi="ar"/>
              </w:rPr>
            </w:pPr>
            <w:r>
              <w:rPr>
                <w:rFonts w:hint="eastAsia" w:ascii="仿宋_GB2312" w:hAnsi="宋体" w:eastAsia="仿宋_GB2312" w:cs="宋体"/>
                <w:bCs/>
                <w:sz w:val="24"/>
                <w:szCs w:val="24"/>
              </w:rPr>
              <w:t>五、商务要求</w:t>
            </w:r>
            <w:r>
              <w:rPr>
                <w:rFonts w:hint="eastAsia" w:ascii="仿宋_GB2312" w:hAnsi="宋体" w:eastAsia="仿宋_GB2312" w:cs="宋体"/>
                <w:bCs/>
                <w:kern w:val="0"/>
                <w:sz w:val="24"/>
                <w:szCs w:val="24"/>
                <w:lang w:bidi="ar"/>
              </w:rPr>
              <w:t>：</w:t>
            </w:r>
          </w:p>
          <w:p>
            <w:pPr>
              <w:widowControl/>
              <w:spacing w:line="276" w:lineRule="auto"/>
              <w:textAlignment w:val="center"/>
              <w:rPr>
                <w:rFonts w:hint="eastAsia" w:ascii="仿宋_GB2312" w:hAnsi="宋体" w:eastAsia="仿宋_GB2312" w:cs="宋体"/>
                <w:bCs/>
                <w:sz w:val="24"/>
                <w:szCs w:val="24"/>
                <w:highlight w:val="none"/>
              </w:rPr>
            </w:pPr>
            <w:r>
              <w:rPr>
                <w:rFonts w:hint="eastAsia" w:ascii="仿宋_GB2312" w:hAnsi="宋体" w:eastAsia="仿宋_GB2312" w:cs="宋体"/>
                <w:bCs/>
                <w:sz w:val="24"/>
                <w:szCs w:val="24"/>
              </w:rPr>
              <w:t>（一）质保期限：货到采购人处之日起至货物质保到期之日，时</w:t>
            </w:r>
            <w:r>
              <w:rPr>
                <w:rFonts w:hint="eastAsia" w:ascii="仿宋_GB2312" w:hAnsi="宋体" w:eastAsia="仿宋_GB2312" w:cs="宋体"/>
                <w:bCs/>
                <w:sz w:val="24"/>
                <w:szCs w:val="24"/>
                <w:highlight w:val="none"/>
              </w:rPr>
              <w:t>间不得少于</w:t>
            </w:r>
            <w:r>
              <w:rPr>
                <w:rFonts w:hint="eastAsia" w:ascii="仿宋_GB2312" w:hAnsi="宋体" w:eastAsia="仿宋_GB2312" w:cs="宋体"/>
                <w:bCs/>
                <w:sz w:val="24"/>
                <w:szCs w:val="24"/>
                <w:highlight w:val="none"/>
                <w:lang w:val="en-US" w:eastAsia="zh-CN"/>
              </w:rPr>
              <w:t>18</w:t>
            </w:r>
            <w:r>
              <w:rPr>
                <w:rFonts w:ascii="仿宋_GB2312" w:hAnsi="宋体" w:eastAsia="仿宋_GB2312" w:cs="宋体"/>
                <w:bCs/>
                <w:sz w:val="24"/>
                <w:szCs w:val="24"/>
                <w:highlight w:val="none"/>
              </w:rPr>
              <w:t>个月。</w:t>
            </w:r>
          </w:p>
          <w:p>
            <w:pPr>
              <w:pStyle w:val="5"/>
              <w:rPr>
                <w:rFonts w:hint="eastAsia" w:ascii="仿宋_GB2312" w:hAnsi="宋体" w:eastAsia="仿宋_GB2312" w:cs="宋体"/>
              </w:rPr>
            </w:pPr>
            <w:r>
              <w:rPr>
                <w:rFonts w:hint="eastAsia" w:ascii="仿宋_GB2312" w:hAnsi="宋体" w:eastAsia="仿宋_GB2312" w:cs="宋体"/>
                <w:spacing w:val="0"/>
                <w:shd w:val="clear" w:color="auto" w:fill="FFFFFF"/>
              </w:rPr>
              <w:t>（二）</w:t>
            </w:r>
            <w:r>
              <w:rPr>
                <w:rFonts w:hint="eastAsia" w:ascii="仿宋_GB2312" w:hAnsi="宋体" w:eastAsia="仿宋_GB2312" w:cs="宋体"/>
              </w:rPr>
              <w:t>售后服务要求</w:t>
            </w:r>
          </w:p>
          <w:p>
            <w:pPr>
              <w:spacing w:line="310" w:lineRule="exact"/>
              <w:rPr>
                <w:rFonts w:ascii="仿宋_GB2312" w:hAnsi="宋体" w:eastAsia="仿宋_GB2312" w:cs="宋体"/>
                <w:color w:val="000000"/>
                <w:sz w:val="24"/>
                <w:szCs w:val="24"/>
              </w:rPr>
            </w:pPr>
            <w:r>
              <w:rPr>
                <w:rFonts w:ascii="仿宋_GB2312" w:hAnsi="宋体" w:eastAsia="仿宋_GB2312" w:cs="宋体"/>
                <w:color w:val="000000"/>
                <w:sz w:val="24"/>
                <w:szCs w:val="24"/>
              </w:rPr>
              <w:t>1、（1）按厂家承诺实行“三包”；（2）送货；（3）保质保量，如在质保期内发现质量问题，供应商必须在接到采购单位通知后 2 小时内处理，如属质量问题的及时给予更换；</w:t>
            </w:r>
          </w:p>
          <w:p>
            <w:pPr>
              <w:spacing w:line="310" w:lineRule="exact"/>
              <w:rPr>
                <w:rFonts w:ascii="仿宋_GB2312" w:hAnsi="宋体" w:eastAsia="仿宋_GB2312" w:cs="宋体"/>
                <w:color w:val="000000"/>
                <w:sz w:val="24"/>
                <w:szCs w:val="24"/>
              </w:rPr>
            </w:pPr>
            <w:r>
              <w:rPr>
                <w:rFonts w:ascii="仿宋_GB2312" w:hAnsi="宋体" w:eastAsia="仿宋_GB2312" w:cs="宋体"/>
                <w:color w:val="000000"/>
                <w:sz w:val="24"/>
                <w:szCs w:val="24"/>
              </w:rPr>
              <w:t>2、供应商请在响应文件中提供具体的“售后服务承诺书”。</w:t>
            </w:r>
          </w:p>
          <w:p>
            <w:pPr>
              <w:spacing w:line="310" w:lineRule="exact"/>
              <w:rPr>
                <w:rFonts w:hint="eastAsia" w:ascii="仿宋_GB2312" w:hAnsi="宋体" w:eastAsia="仿宋_GB2312" w:cs="宋体"/>
                <w:color w:val="000000"/>
                <w:sz w:val="24"/>
                <w:szCs w:val="24"/>
              </w:rPr>
            </w:pPr>
            <w:r>
              <w:rPr>
                <w:rFonts w:ascii="仿宋_GB2312" w:hAnsi="宋体" w:eastAsia="仿宋_GB2312" w:cs="宋体"/>
                <w:color w:val="000000"/>
                <w:sz w:val="24"/>
                <w:szCs w:val="24"/>
              </w:rPr>
              <w:t>3、供应商必须严格按采购单位需要的数量和时间供货。</w:t>
            </w:r>
          </w:p>
          <w:p>
            <w:pPr>
              <w:pStyle w:val="2"/>
              <w:rPr>
                <w:rFonts w:hint="eastAsia" w:ascii="仿宋_GB2312" w:hAnsi="宋体" w:eastAsia="仿宋_GB2312" w:cs="宋体"/>
              </w:rPr>
            </w:pPr>
            <w:r>
              <w:rPr>
                <w:rFonts w:hint="eastAsia" w:ascii="仿宋_GB2312" w:hAnsi="宋体" w:eastAsia="仿宋_GB2312" w:cs="宋体"/>
                <w:bCs/>
              </w:rPr>
              <w:t>（三）</w:t>
            </w:r>
            <w:r>
              <w:rPr>
                <w:rFonts w:hint="eastAsia" w:ascii="仿宋_GB2312" w:hAnsi="宋体" w:eastAsia="仿宋_GB2312" w:cs="宋体"/>
              </w:rPr>
              <w:t>交货时间及地点：</w:t>
            </w:r>
          </w:p>
          <w:p>
            <w:pPr>
              <w:rPr>
                <w:rFonts w:hint="eastAsia" w:ascii="仿宋_GB2312" w:hAnsi="宋体" w:eastAsia="仿宋_GB2312" w:cs="宋体"/>
                <w:sz w:val="24"/>
                <w:szCs w:val="24"/>
              </w:rPr>
            </w:pPr>
            <w:r>
              <w:rPr>
                <w:rFonts w:hint="eastAsia" w:ascii="仿宋_GB2312" w:hAnsi="宋体" w:eastAsia="仿宋_GB2312" w:cs="宋体"/>
                <w:sz w:val="24"/>
                <w:szCs w:val="24"/>
              </w:rPr>
              <w:t>1、交货时间：</w:t>
            </w:r>
            <w:r>
              <w:rPr>
                <w:rFonts w:hint="eastAsia" w:ascii="仿宋_GB2312" w:hAnsi="宋体" w:eastAsia="仿宋_GB2312" w:cs="宋体"/>
                <w:sz w:val="24"/>
                <w:szCs w:val="24"/>
                <w:lang w:eastAsia="zh-CN"/>
              </w:rPr>
              <w:t>下单</w:t>
            </w:r>
            <w:r>
              <w:rPr>
                <w:rFonts w:hint="eastAsia" w:ascii="仿宋_GB2312" w:hAnsi="宋体" w:eastAsia="仿宋_GB2312" w:cs="宋体"/>
                <w:sz w:val="24"/>
                <w:szCs w:val="24"/>
              </w:rPr>
              <w:t>之日起</w:t>
            </w: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日内。</w:t>
            </w:r>
          </w:p>
          <w:p>
            <w:pPr>
              <w:rPr>
                <w:rFonts w:hint="eastAsia" w:ascii="仿宋_GB2312" w:hAnsi="宋体" w:eastAsia="仿宋_GB2312" w:cs="宋体"/>
                <w:sz w:val="24"/>
                <w:szCs w:val="24"/>
              </w:rPr>
            </w:pPr>
            <w:r>
              <w:rPr>
                <w:rFonts w:hint="eastAsia" w:ascii="仿宋_GB2312" w:hAnsi="宋体" w:eastAsia="仿宋_GB2312" w:cs="宋体"/>
                <w:sz w:val="24"/>
                <w:szCs w:val="24"/>
              </w:rPr>
              <w:t>2、交货地点：</w:t>
            </w:r>
            <w:r>
              <w:rPr>
                <w:rFonts w:hint="eastAsia" w:ascii="仿宋_GB2312" w:hAnsi="宋体" w:eastAsia="仿宋_GB2312" w:cs="宋体"/>
                <w:sz w:val="24"/>
                <w:szCs w:val="24"/>
                <w:lang w:eastAsia="zh-CN"/>
              </w:rPr>
              <w:t>订单地址</w:t>
            </w:r>
            <w:r>
              <w:rPr>
                <w:rFonts w:hint="eastAsia" w:ascii="仿宋_GB2312" w:hAnsi="宋体" w:eastAsia="仿宋_GB2312" w:cs="宋体"/>
                <w:sz w:val="24"/>
                <w:szCs w:val="24"/>
              </w:rPr>
              <w:t>。</w:t>
            </w:r>
          </w:p>
          <w:p>
            <w:pPr>
              <w:pStyle w:val="5"/>
              <w:rPr>
                <w:rFonts w:hint="eastAsia" w:ascii="仿宋_GB2312" w:hAnsi="宋体" w:eastAsia="仿宋_GB2312" w:cs="宋体"/>
              </w:rPr>
            </w:pPr>
            <w:r>
              <w:rPr>
                <w:rFonts w:hint="eastAsia" w:ascii="仿宋_GB2312" w:hAnsi="宋体" w:eastAsia="仿宋_GB2312" w:cs="宋体"/>
              </w:rPr>
              <w:t>（四）付款方式</w:t>
            </w:r>
          </w:p>
          <w:p>
            <w:pPr>
              <w:spacing w:line="360" w:lineRule="auto"/>
              <w:rPr>
                <w:rFonts w:hint="eastAsia" w:ascii="仿宋_GB2312" w:hAnsi="宋体" w:eastAsia="仿宋_GB2312" w:cs="宋体"/>
                <w:sz w:val="24"/>
                <w:szCs w:val="24"/>
              </w:rPr>
            </w:pPr>
            <w:r>
              <w:rPr>
                <w:rFonts w:hint="eastAsia" w:ascii="仿宋_GB2312" w:hAnsi="宋体" w:eastAsia="仿宋_GB2312" w:cs="宋体"/>
                <w:sz w:val="24"/>
                <w:szCs w:val="24"/>
              </w:rPr>
              <w:t>按实际送货量结算货款，送货验收合格后，由成交供应商按执行金额开具等额发票，收到发票后以对公转账方式支付货款，不得超过合同总金额。</w:t>
            </w:r>
          </w:p>
          <w:p>
            <w:pPr>
              <w:pStyle w:val="5"/>
              <w:rPr>
                <w:rFonts w:hint="eastAsia" w:ascii="仿宋_GB2312" w:hAnsi="宋体" w:eastAsia="仿宋_GB2312" w:cs="宋体"/>
              </w:rPr>
            </w:pPr>
            <w:r>
              <w:rPr>
                <w:rFonts w:hint="eastAsia" w:ascii="仿宋_GB2312" w:hAnsi="宋体" w:eastAsia="仿宋_GB2312" w:cs="宋体"/>
              </w:rPr>
              <w:t>（五）报价</w:t>
            </w:r>
          </w:p>
          <w:p>
            <w:pPr>
              <w:pStyle w:val="5"/>
              <w:rPr>
                <w:rFonts w:ascii="仿宋_GB2312" w:hAnsi="宋体" w:eastAsia="仿宋_GB2312" w:cs="宋体"/>
              </w:rPr>
            </w:pPr>
            <w:r>
              <w:rPr>
                <w:rFonts w:ascii="仿宋_GB2312" w:hAnsi="宋体" w:eastAsia="仿宋_GB2312" w:cs="宋体"/>
              </w:rPr>
              <w:t>1.本项目采用单价报价方式，竞标报价包括货款、包装、运输、装卸、保险、税金、货到就位等一切税金和费用。</w:t>
            </w:r>
          </w:p>
          <w:p>
            <w:pPr>
              <w:pStyle w:val="5"/>
              <w:rPr>
                <w:rFonts w:ascii="仿宋_GB2312" w:hAnsi="宋体" w:eastAsia="仿宋_GB2312" w:cs="宋体"/>
              </w:rPr>
            </w:pPr>
            <w:r>
              <w:rPr>
                <w:rFonts w:ascii="仿宋_GB2312" w:hAnsi="宋体" w:eastAsia="仿宋_GB2312" w:cs="宋体"/>
              </w:rPr>
              <w:t>2.单价合计平均报价只作为价格评审依据，不作为实际结算价格，合同结算按各年龄阶段分项单价报价据实结算。</w:t>
            </w:r>
          </w:p>
        </w:tc>
      </w:tr>
    </w:tbl>
    <w:p/>
    <w:p/>
    <w:p/>
    <w:p/>
    <w:p/>
    <w:p/>
    <w:p/>
    <w:p/>
    <w:p>
      <w:pPr>
        <w:rPr>
          <w:rFonts w:hint="eastAsia" w:eastAsia="宋体"/>
          <w:lang w:val="en-US" w:eastAsia="zh-CN"/>
        </w:rPr>
      </w:pPr>
      <w:r>
        <w:rPr>
          <w:rFonts w:hint="eastAsia"/>
          <w:lang w:val="en-US" w:eastAsia="zh-CN"/>
        </w:rPr>
        <w:t>参数要求：</w:t>
      </w:r>
    </w:p>
    <w:p/>
    <w:tbl>
      <w:tblPr>
        <w:tblStyle w:val="3"/>
        <w:tblW w:w="9719" w:type="dxa"/>
        <w:jc w:val="center"/>
        <w:tblLayout w:type="autofit"/>
        <w:tblCellMar>
          <w:top w:w="0" w:type="dxa"/>
          <w:left w:w="108" w:type="dxa"/>
          <w:bottom w:w="0" w:type="dxa"/>
          <w:right w:w="108" w:type="dxa"/>
        </w:tblCellMar>
      </w:tblPr>
      <w:tblGrid>
        <w:gridCol w:w="704"/>
        <w:gridCol w:w="992"/>
        <w:gridCol w:w="1418"/>
        <w:gridCol w:w="2982"/>
        <w:gridCol w:w="1270"/>
        <w:gridCol w:w="1134"/>
        <w:gridCol w:w="1219"/>
      </w:tblGrid>
      <w:tr>
        <w:tblPrEx>
          <w:tblCellMar>
            <w:top w:w="0" w:type="dxa"/>
            <w:left w:w="108" w:type="dxa"/>
            <w:bottom w:w="0" w:type="dxa"/>
            <w:right w:w="108" w:type="dxa"/>
          </w:tblCellMar>
        </w:tblPrEx>
        <w:trPr>
          <w:trHeight w:val="66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序号</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lang w:bidi="ar"/>
              </w:rPr>
              <w:t>名称</w:t>
            </w:r>
          </w:p>
        </w:tc>
        <w:tc>
          <w:tcPr>
            <w:tcW w:w="1418"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作用</w:t>
            </w:r>
          </w:p>
        </w:tc>
        <w:tc>
          <w:tcPr>
            <w:tcW w:w="29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宋体" w:eastAsia="仿宋_GB2312" w:cs="宋体"/>
                <w:color w:val="000000"/>
                <w:szCs w:val="21"/>
              </w:rPr>
            </w:pPr>
            <w:r>
              <w:rPr>
                <w:rFonts w:hint="eastAsia" w:ascii="仿宋_GB2312" w:hAnsi="宋体" w:eastAsia="仿宋_GB2312" w:cs="宋体"/>
                <w:color w:val="000000"/>
                <w:kern w:val="0"/>
                <w:szCs w:val="21"/>
              </w:rPr>
              <w:t>成分参数</w:t>
            </w:r>
          </w:p>
        </w:tc>
        <w:tc>
          <w:tcPr>
            <w:tcW w:w="1270" w:type="dxa"/>
            <w:tcBorders>
              <w:top w:val="single" w:color="000000" w:sz="4" w:space="0"/>
              <w:left w:val="single" w:color="000000" w:sz="4" w:space="0"/>
              <w:right w:val="single" w:color="000000" w:sz="4" w:space="0"/>
            </w:tcBorders>
          </w:tcPr>
          <w:p>
            <w:pPr>
              <w:widowControl/>
              <w:jc w:val="center"/>
              <w:textAlignment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价格</w:t>
            </w:r>
          </w:p>
          <w:p>
            <w:pPr>
              <w:widowControl/>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（元/份）</w:t>
            </w:r>
          </w:p>
        </w:tc>
        <w:tc>
          <w:tcPr>
            <w:tcW w:w="1134" w:type="dxa"/>
            <w:tcBorders>
              <w:top w:val="single" w:color="000000" w:sz="4" w:space="0"/>
              <w:left w:val="single" w:color="000000" w:sz="4" w:space="0"/>
              <w:right w:val="single" w:color="000000" w:sz="4" w:space="0"/>
            </w:tcBorders>
          </w:tcPr>
          <w:p>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份数</w:t>
            </w:r>
          </w:p>
        </w:tc>
        <w:tc>
          <w:tcPr>
            <w:tcW w:w="1219" w:type="dxa"/>
            <w:tcBorders>
              <w:top w:val="single" w:color="000000" w:sz="4" w:space="0"/>
              <w:left w:val="single" w:color="000000" w:sz="4" w:space="0"/>
              <w:right w:val="single" w:color="000000" w:sz="4" w:space="0"/>
            </w:tcBorders>
          </w:tcPr>
          <w:p>
            <w:pPr>
              <w:widowControl/>
              <w:jc w:val="center"/>
              <w:textAlignment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总金额</w:t>
            </w:r>
          </w:p>
        </w:tc>
      </w:tr>
      <w:tr>
        <w:tblPrEx>
          <w:tblCellMar>
            <w:top w:w="0" w:type="dxa"/>
            <w:left w:w="108" w:type="dxa"/>
            <w:bottom w:w="0" w:type="dxa"/>
            <w:right w:w="108" w:type="dxa"/>
          </w:tblCellMar>
        </w:tblPrEx>
        <w:trPr>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儿童</w:t>
            </w:r>
          </w:p>
          <w:p>
            <w:pPr>
              <w:widowControl/>
              <w:textAlignment w:val="bottom"/>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rPr>
              <w:t>营养包0-5岁（含5岁）</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szCs w:val="21"/>
              </w:rPr>
              <w:t>基础的营养补充剂，提升身体营养状态，微量元素营养补充，促进恢复及促进体格生长、大脑发育、视力发育，改善缺铁、贫血等</w:t>
            </w:r>
          </w:p>
        </w:tc>
        <w:tc>
          <w:tcPr>
            <w:tcW w:w="2982"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0-5岁阶段</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招标要求</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富含铁锌多种维生素等生长发育所需微量元素，基础成分含量，每日份含量：</w:t>
            </w:r>
            <w:r>
              <w:rPr>
                <w:rFonts w:hint="eastAsia" w:ascii="仿宋_GB2312" w:hAnsi="宋体" w:eastAsia="仿宋_GB2312"/>
                <w:color w:val="000000"/>
                <w:szCs w:val="21"/>
              </w:rPr>
              <w:tab/>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铁/mg</w:t>
            </w:r>
            <w:r>
              <w:rPr>
                <w:rFonts w:hint="eastAsia" w:ascii="仿宋_GB2312" w:hAnsi="宋体" w:eastAsia="仿宋_GB2312"/>
                <w:color w:val="000000"/>
                <w:szCs w:val="21"/>
              </w:rPr>
              <w:tab/>
            </w:r>
            <w:r>
              <w:rPr>
                <w:rFonts w:hint="eastAsia" w:ascii="仿宋_GB2312" w:hAnsi="宋体" w:eastAsia="仿宋_GB2312"/>
                <w:color w:val="000000"/>
                <w:szCs w:val="21"/>
              </w:rPr>
              <w:t xml:space="preserve">        不低于6</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锌/mg           不低于4</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维生素D/μg      不低于5</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维生素B1/mg</w:t>
            </w:r>
            <w:r>
              <w:rPr>
                <w:rFonts w:hint="eastAsia" w:ascii="仿宋_GB2312" w:hAnsi="宋体" w:eastAsia="仿宋_GB2312"/>
                <w:color w:val="000000"/>
                <w:szCs w:val="21"/>
              </w:rPr>
              <w:tab/>
            </w:r>
            <w:r>
              <w:rPr>
                <w:rFonts w:hint="eastAsia" w:ascii="仿宋_GB2312" w:hAnsi="宋体" w:eastAsia="仿宋_GB2312"/>
                <w:color w:val="000000"/>
                <w:szCs w:val="21"/>
              </w:rPr>
              <w:tab/>
            </w:r>
            <w:r>
              <w:rPr>
                <w:rFonts w:hint="eastAsia" w:ascii="仿宋_GB2312" w:hAnsi="宋体" w:eastAsia="仿宋_GB2312"/>
                <w:color w:val="000000"/>
                <w:szCs w:val="21"/>
              </w:rPr>
              <w:t>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维生素B2/mg</w:t>
            </w:r>
            <w:r>
              <w:rPr>
                <w:rFonts w:hint="eastAsia" w:ascii="仿宋_GB2312" w:hAnsi="宋体" w:eastAsia="仿宋_GB2312"/>
                <w:color w:val="000000"/>
                <w:szCs w:val="21"/>
              </w:rPr>
              <w:tab/>
            </w:r>
            <w:r>
              <w:rPr>
                <w:rFonts w:hint="eastAsia" w:ascii="仿宋_GB2312" w:hAnsi="宋体" w:eastAsia="仿宋_GB2312"/>
                <w:color w:val="000000"/>
                <w:szCs w:val="21"/>
              </w:rPr>
              <w:tab/>
            </w:r>
            <w:r>
              <w:rPr>
                <w:rFonts w:hint="eastAsia" w:ascii="仿宋_GB2312" w:hAnsi="宋体" w:eastAsia="仿宋_GB2312"/>
                <w:color w:val="000000"/>
                <w:szCs w:val="21"/>
              </w:rPr>
              <w:t>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维生素B6/mg</w:t>
            </w:r>
            <w:r>
              <w:rPr>
                <w:rFonts w:hint="eastAsia" w:ascii="仿宋_GB2312" w:hAnsi="宋体" w:eastAsia="仿宋_GB2312"/>
                <w:color w:val="000000"/>
                <w:szCs w:val="21"/>
              </w:rPr>
              <w:tab/>
            </w:r>
            <w:r>
              <w:rPr>
                <w:rFonts w:hint="eastAsia" w:ascii="仿宋_GB2312" w:hAnsi="宋体" w:eastAsia="仿宋_GB2312"/>
                <w:color w:val="000000"/>
                <w:szCs w:val="21"/>
              </w:rPr>
              <w:tab/>
            </w:r>
            <w:r>
              <w:rPr>
                <w:rFonts w:hint="eastAsia" w:ascii="仿宋_GB2312" w:hAnsi="宋体" w:eastAsia="仿宋_GB2312"/>
                <w:color w:val="000000"/>
                <w:szCs w:val="21"/>
              </w:rPr>
              <w:t>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维生素B12/μg</w:t>
            </w:r>
            <w:r>
              <w:rPr>
                <w:rFonts w:hint="eastAsia" w:ascii="仿宋_GB2312" w:hAnsi="宋体" w:eastAsia="仿宋_GB2312"/>
                <w:color w:val="000000"/>
                <w:szCs w:val="21"/>
              </w:rPr>
              <w:tab/>
            </w:r>
            <w:r>
              <w:rPr>
                <w:rFonts w:hint="eastAsia" w:ascii="仿宋_GB2312" w:hAnsi="宋体" w:eastAsia="仿宋_GB2312"/>
                <w:color w:val="000000"/>
                <w:szCs w:val="21"/>
              </w:rPr>
              <w:t>不低于0.5</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叶酸/ug         不低于80</w:t>
            </w:r>
          </w:p>
          <w:p>
            <w:pPr>
              <w:widowControl/>
              <w:textAlignment w:val="center"/>
              <w:rPr>
                <w:rFonts w:hint="eastAsia" w:ascii="仿宋_GB2312" w:hAnsi="宋体" w:eastAsia="仿宋_GB2312" w:cs="宋体"/>
                <w:color w:val="000000"/>
                <w:kern w:val="0"/>
                <w:szCs w:val="21"/>
                <w:lang w:bidi="ar"/>
              </w:rPr>
            </w:pPr>
            <w:r>
              <w:rPr>
                <w:rFonts w:hint="eastAsia" w:ascii="仿宋_GB2312" w:hAnsi="宋体" w:eastAsia="仿宋_GB2312"/>
                <w:color w:val="000000"/>
                <w:szCs w:val="21"/>
              </w:rPr>
              <w:t>（符合基础要求并含有更多生长发育所需成分的产品优先）</w:t>
            </w:r>
          </w:p>
        </w:tc>
        <w:tc>
          <w:tcPr>
            <w:tcW w:w="127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olor w:val="000000"/>
                <w:szCs w:val="21"/>
              </w:rPr>
            </w:pPr>
            <w:r>
              <w:rPr>
                <w:rFonts w:hint="eastAsia" w:ascii="仿宋_GB2312" w:hAnsi="宋体" w:eastAsia="仿宋_GB2312" w:cs="宋体"/>
                <w:color w:val="000000"/>
                <w:kern w:val="0"/>
                <w:szCs w:val="21"/>
              </w:rPr>
              <w:t>≤1000.00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olor w:val="000000"/>
                <w:szCs w:val="21"/>
              </w:rPr>
            </w:pPr>
            <w:r>
              <w:rPr>
                <w:rFonts w:hint="eastAsia" w:ascii="仿宋_GB2312" w:hAnsi="宋体" w:eastAsia="仿宋_GB2312" w:cs="宋体"/>
                <w:color w:val="000000"/>
                <w:kern w:val="0"/>
                <w:szCs w:val="21"/>
              </w:rPr>
              <w:t>视项目实际救助情况而定</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olor w:val="000000"/>
                <w:szCs w:val="21"/>
              </w:rPr>
            </w:pPr>
            <w:r>
              <w:rPr>
                <w:rFonts w:hint="eastAsia" w:ascii="仿宋_GB2312" w:hAnsi="宋体" w:eastAsia="仿宋_GB2312" w:cs="宋体"/>
                <w:color w:val="000000"/>
                <w:kern w:val="0"/>
                <w:szCs w:val="21"/>
              </w:rPr>
              <w:t>视项目实际救助情况而定</w:t>
            </w:r>
          </w:p>
        </w:tc>
      </w:tr>
      <w:tr>
        <w:tblPrEx>
          <w:tblCellMar>
            <w:top w:w="0" w:type="dxa"/>
            <w:left w:w="108" w:type="dxa"/>
            <w:bottom w:w="0" w:type="dxa"/>
            <w:right w:w="108" w:type="dxa"/>
          </w:tblCellMar>
        </w:tblPrEx>
        <w:trPr>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儿童</w:t>
            </w:r>
          </w:p>
          <w:p>
            <w:pPr>
              <w:widowControl/>
              <w:spacing w:line="360" w:lineRule="exact"/>
              <w:textAlignment w:val="baseline"/>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营养包6-10岁</w:t>
            </w:r>
          </w:p>
          <w:p>
            <w:pPr>
              <w:widowControl/>
              <w:spacing w:line="360" w:lineRule="exact"/>
              <w:textAlignment w:val="baseline"/>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（6岁以上到10岁，含10岁）</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基础的营养补充剂，提升身体营养状态，微量元素营养补充，促进恢复及促进体格生长、大脑发育、视力发育，改善缺铁、贫血等</w:t>
            </w:r>
          </w:p>
        </w:tc>
        <w:tc>
          <w:tcPr>
            <w:tcW w:w="2982"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6-10岁阶段</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招标要求</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富含铁锌硒B族多种维生素等生长发育所需微量元素，基础成分含量，每日份含量：</w:t>
            </w:r>
            <w:r>
              <w:rPr>
                <w:rFonts w:hint="eastAsia" w:ascii="仿宋_GB2312" w:hAnsi="宋体" w:eastAsia="仿宋_GB2312"/>
                <w:color w:val="000000"/>
                <w:szCs w:val="21"/>
              </w:rPr>
              <w:tab/>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 xml:space="preserve">维生素D3（μg）  不低于4 </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维生素B1（mg）   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维生素B2（mg）   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维生素B6（mg）   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叶酸（μg）</w:t>
            </w:r>
            <w:r>
              <w:rPr>
                <w:rFonts w:hint="eastAsia" w:ascii="仿宋_GB2312" w:hAnsi="宋体" w:eastAsia="仿宋_GB2312"/>
                <w:color w:val="000000"/>
                <w:szCs w:val="21"/>
              </w:rPr>
              <w:tab/>
            </w:r>
            <w:r>
              <w:rPr>
                <w:rFonts w:hint="eastAsia" w:ascii="仿宋_GB2312" w:hAnsi="宋体" w:eastAsia="仿宋_GB2312"/>
                <w:color w:val="000000"/>
                <w:szCs w:val="21"/>
              </w:rPr>
              <w:t xml:space="preserve"> 不低于70</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铁（mg）</w:t>
            </w:r>
            <w:r>
              <w:rPr>
                <w:rFonts w:hint="eastAsia" w:ascii="仿宋_GB2312" w:hAnsi="宋体" w:eastAsia="仿宋_GB2312"/>
                <w:color w:val="000000"/>
                <w:szCs w:val="21"/>
              </w:rPr>
              <w:tab/>
            </w:r>
            <w:r>
              <w:rPr>
                <w:rFonts w:hint="eastAsia" w:ascii="仿宋_GB2312" w:hAnsi="宋体" w:eastAsia="仿宋_GB2312"/>
                <w:color w:val="000000"/>
                <w:szCs w:val="21"/>
              </w:rPr>
              <w:t xml:space="preserve"> 不低于</w:t>
            </w:r>
            <w:r>
              <w:rPr>
                <w:rFonts w:hint="eastAsia" w:ascii="仿宋_GB2312" w:hAnsi="宋体" w:eastAsia="仿宋_GB2312"/>
                <w:color w:val="000000"/>
                <w:szCs w:val="21"/>
                <w:lang w:val="en-US" w:eastAsia="zh-CN"/>
              </w:rPr>
              <w:t>5</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锌（mg）</w:t>
            </w:r>
            <w:r>
              <w:rPr>
                <w:rFonts w:hint="eastAsia" w:ascii="仿宋_GB2312" w:hAnsi="宋体" w:eastAsia="仿宋_GB2312"/>
                <w:color w:val="000000"/>
                <w:szCs w:val="21"/>
              </w:rPr>
              <w:tab/>
            </w:r>
            <w:r>
              <w:rPr>
                <w:rFonts w:hint="eastAsia" w:ascii="仿宋_GB2312" w:hAnsi="宋体" w:eastAsia="仿宋_GB2312"/>
                <w:color w:val="000000"/>
                <w:szCs w:val="21"/>
              </w:rPr>
              <w:t>不低于2</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（符合基础要求并含有更多生长发育所需成分的产品优先）</w:t>
            </w:r>
          </w:p>
        </w:tc>
        <w:tc>
          <w:tcPr>
            <w:tcW w:w="127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≤1000</w:t>
            </w:r>
            <w:r>
              <w:rPr>
                <w:rFonts w:ascii="仿宋_GB2312" w:hAnsi="宋体" w:eastAsia="仿宋_GB2312" w:cs="宋体"/>
                <w:color w:val="000000"/>
                <w:kern w:val="0"/>
                <w:szCs w:val="21"/>
              </w:rPr>
              <w:t>.00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视项目实际救助情况而定</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视项目实际救助情况而定</w:t>
            </w:r>
          </w:p>
        </w:tc>
      </w:tr>
      <w:tr>
        <w:tblPrEx>
          <w:tblCellMar>
            <w:top w:w="0" w:type="dxa"/>
            <w:left w:w="108" w:type="dxa"/>
            <w:bottom w:w="0" w:type="dxa"/>
            <w:right w:w="108" w:type="dxa"/>
          </w:tblCellMar>
        </w:tblPrEx>
        <w:trPr>
          <w:trHeight w:val="1500" w:hRule="atLeast"/>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bottom"/>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3</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baseline"/>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儿童</w:t>
            </w:r>
          </w:p>
          <w:p>
            <w:pPr>
              <w:widowControl/>
              <w:spacing w:line="360" w:lineRule="exact"/>
              <w:textAlignment w:val="baseline"/>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营养包11-18岁（11岁以上到18岁，含18岁）</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仿宋_GB2312" w:hAnsi="宋体" w:eastAsia="仿宋_GB2312" w:cs="宋体"/>
                <w:color w:val="000000"/>
                <w:szCs w:val="21"/>
              </w:rPr>
            </w:pPr>
            <w:r>
              <w:rPr>
                <w:rFonts w:hint="eastAsia" w:ascii="仿宋_GB2312" w:hAnsi="宋体" w:eastAsia="仿宋_GB2312" w:cs="宋体"/>
                <w:color w:val="000000"/>
                <w:szCs w:val="21"/>
              </w:rPr>
              <w:t>基础的营养补充剂，提升身体营养状态，微量元素营养补充，促进恢复及促进体格生长、大脑发育、视力发育，改善缺铁、贫血等</w:t>
            </w:r>
          </w:p>
        </w:tc>
        <w:tc>
          <w:tcPr>
            <w:tcW w:w="2982"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11-18岁阶段</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招标要求</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富含铁锌硒B族多种维生素等生长发育所需微量元素，基础成分含量，每日份含量：</w:t>
            </w:r>
            <w:r>
              <w:rPr>
                <w:rFonts w:hint="eastAsia" w:ascii="仿宋_GB2312" w:hAnsi="宋体" w:eastAsia="仿宋_GB2312"/>
                <w:color w:val="000000"/>
                <w:szCs w:val="21"/>
              </w:rPr>
              <w:tab/>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 xml:space="preserve">维生素D3（μg）  不低于4 </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维生素B1（mg）   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维生素B2（mg）   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维生素B6（mg）   不低于0.</w:t>
            </w:r>
            <w:r>
              <w:rPr>
                <w:rFonts w:hint="eastAsia" w:ascii="仿宋_GB2312" w:hAnsi="宋体" w:eastAsia="仿宋_GB2312"/>
                <w:color w:val="000000"/>
                <w:szCs w:val="21"/>
                <w:lang w:val="en-US" w:eastAsia="zh-CN"/>
              </w:rPr>
              <w:t>4</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叶酸（μg）</w:t>
            </w:r>
            <w:r>
              <w:rPr>
                <w:rFonts w:hint="eastAsia" w:ascii="仿宋_GB2312" w:hAnsi="宋体" w:eastAsia="仿宋_GB2312"/>
                <w:color w:val="000000"/>
                <w:szCs w:val="21"/>
              </w:rPr>
              <w:tab/>
            </w:r>
            <w:r>
              <w:rPr>
                <w:rFonts w:hint="eastAsia" w:ascii="仿宋_GB2312" w:hAnsi="宋体" w:eastAsia="仿宋_GB2312"/>
                <w:color w:val="000000"/>
                <w:szCs w:val="21"/>
              </w:rPr>
              <w:t xml:space="preserve"> 不低于70</w:t>
            </w:r>
          </w:p>
          <w:p>
            <w:pPr>
              <w:spacing w:line="300" w:lineRule="auto"/>
              <w:rPr>
                <w:rFonts w:hint="eastAsia" w:ascii="仿宋_GB2312" w:hAnsi="宋体" w:eastAsia="仿宋_GB2312"/>
                <w:color w:val="000000"/>
                <w:szCs w:val="21"/>
                <w:lang w:eastAsia="zh-CN"/>
              </w:rPr>
            </w:pPr>
            <w:r>
              <w:rPr>
                <w:rFonts w:hint="eastAsia" w:ascii="仿宋_GB2312" w:hAnsi="宋体" w:eastAsia="仿宋_GB2312"/>
                <w:color w:val="000000"/>
                <w:szCs w:val="21"/>
              </w:rPr>
              <w:t>铁（mg）</w:t>
            </w:r>
            <w:r>
              <w:rPr>
                <w:rFonts w:hint="eastAsia" w:ascii="仿宋_GB2312" w:hAnsi="宋体" w:eastAsia="仿宋_GB2312"/>
                <w:color w:val="000000"/>
                <w:szCs w:val="21"/>
              </w:rPr>
              <w:tab/>
            </w:r>
            <w:r>
              <w:rPr>
                <w:rFonts w:hint="eastAsia" w:ascii="仿宋_GB2312" w:hAnsi="宋体" w:eastAsia="仿宋_GB2312"/>
                <w:color w:val="000000"/>
                <w:szCs w:val="21"/>
              </w:rPr>
              <w:t xml:space="preserve"> 不低于</w:t>
            </w:r>
            <w:r>
              <w:rPr>
                <w:rFonts w:hint="eastAsia" w:ascii="仿宋_GB2312" w:hAnsi="宋体" w:eastAsia="仿宋_GB2312"/>
                <w:color w:val="000000"/>
                <w:szCs w:val="21"/>
                <w:lang w:val="en-US" w:eastAsia="zh-CN"/>
              </w:rPr>
              <w:t>5</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锌（mg）</w:t>
            </w:r>
            <w:r>
              <w:rPr>
                <w:rFonts w:hint="eastAsia" w:ascii="仿宋_GB2312" w:hAnsi="宋体" w:eastAsia="仿宋_GB2312"/>
                <w:color w:val="000000"/>
                <w:szCs w:val="21"/>
              </w:rPr>
              <w:tab/>
            </w:r>
            <w:r>
              <w:rPr>
                <w:rFonts w:hint="eastAsia" w:ascii="仿宋_GB2312" w:hAnsi="宋体" w:eastAsia="仿宋_GB2312"/>
                <w:color w:val="000000"/>
                <w:szCs w:val="21"/>
              </w:rPr>
              <w:t>不低于2</w:t>
            </w:r>
          </w:p>
          <w:p>
            <w:pPr>
              <w:spacing w:line="300" w:lineRule="auto"/>
              <w:rPr>
                <w:rFonts w:hint="eastAsia" w:ascii="仿宋_GB2312" w:hAnsi="宋体" w:eastAsia="仿宋_GB2312"/>
                <w:color w:val="000000"/>
                <w:szCs w:val="21"/>
              </w:rPr>
            </w:pPr>
            <w:r>
              <w:rPr>
                <w:rFonts w:hint="eastAsia" w:ascii="仿宋_GB2312" w:hAnsi="宋体" w:eastAsia="仿宋_GB2312"/>
                <w:color w:val="000000"/>
                <w:szCs w:val="21"/>
              </w:rPr>
              <w:t>（符合基础要求并含有更多生长发育所需成分的产品优先）</w:t>
            </w:r>
          </w:p>
        </w:tc>
        <w:tc>
          <w:tcPr>
            <w:tcW w:w="1270"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≤1000</w:t>
            </w:r>
            <w:r>
              <w:rPr>
                <w:rFonts w:ascii="仿宋_GB2312" w:hAnsi="宋体" w:eastAsia="仿宋_GB2312" w:cs="宋体"/>
                <w:color w:val="000000"/>
                <w:kern w:val="0"/>
                <w:szCs w:val="21"/>
              </w:rPr>
              <w:t>.00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视项目实际救助情况而定</w:t>
            </w:r>
          </w:p>
        </w:tc>
        <w:tc>
          <w:tcPr>
            <w:tcW w:w="1219" w:type="dxa"/>
            <w:tcBorders>
              <w:top w:val="single" w:color="000000" w:sz="4" w:space="0"/>
              <w:left w:val="single" w:color="000000" w:sz="4" w:space="0"/>
              <w:bottom w:val="single" w:color="000000" w:sz="4" w:space="0"/>
              <w:right w:val="single" w:color="000000" w:sz="4" w:space="0"/>
            </w:tcBorders>
            <w:vAlign w:val="center"/>
          </w:tcPr>
          <w:p>
            <w:pPr>
              <w:spacing w:line="300" w:lineRule="auto"/>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视项目实际救助情况而定</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31870"/>
    <w:multiLevelType w:val="multilevel"/>
    <w:tmpl w:val="4FD31870"/>
    <w:lvl w:ilvl="0" w:tentative="0">
      <w:start w:val="1"/>
      <w:numFmt w:val="decimal"/>
      <w:lvlText w:val="%1"/>
      <w:lvlJc w:val="right"/>
      <w:pPr>
        <w:ind w:left="699" w:hanging="132"/>
      </w:pPr>
      <w:rPr>
        <w:rFonts w:hint="eastAsia" w:ascii="宋体" w:hAnsi="宋体" w:eastAsia="宋体"/>
        <w:b w:val="0"/>
        <w:i w:val="0"/>
        <w:sz w:val="21"/>
      </w:rPr>
    </w:lvl>
    <w:lvl w:ilvl="1" w:tentative="0">
      <w:start w:val="1"/>
      <w:numFmt w:val="lowerLetter"/>
      <w:lvlText w:val="%2)"/>
      <w:lvlJc w:val="left"/>
      <w:pPr>
        <w:ind w:left="1119" w:hanging="420"/>
      </w:pPr>
    </w:lvl>
    <w:lvl w:ilvl="2" w:tentative="0">
      <w:start w:val="1"/>
      <w:numFmt w:val="lowerRoman"/>
      <w:lvlText w:val="%3."/>
      <w:lvlJc w:val="right"/>
      <w:pPr>
        <w:ind w:left="1539" w:hanging="420"/>
      </w:pPr>
    </w:lvl>
    <w:lvl w:ilvl="3" w:tentative="0">
      <w:start w:val="1"/>
      <w:numFmt w:val="decimal"/>
      <w:lvlText w:val="%4."/>
      <w:lvlJc w:val="left"/>
      <w:pPr>
        <w:ind w:left="1959" w:hanging="420"/>
      </w:pPr>
    </w:lvl>
    <w:lvl w:ilvl="4" w:tentative="0">
      <w:start w:val="1"/>
      <w:numFmt w:val="lowerLetter"/>
      <w:lvlText w:val="%5)"/>
      <w:lvlJc w:val="left"/>
      <w:pPr>
        <w:ind w:left="2379" w:hanging="420"/>
      </w:pPr>
    </w:lvl>
    <w:lvl w:ilvl="5" w:tentative="0">
      <w:start w:val="1"/>
      <w:numFmt w:val="lowerRoman"/>
      <w:lvlText w:val="%6."/>
      <w:lvlJc w:val="right"/>
      <w:pPr>
        <w:ind w:left="2799" w:hanging="420"/>
      </w:pPr>
    </w:lvl>
    <w:lvl w:ilvl="6" w:tentative="0">
      <w:start w:val="1"/>
      <w:numFmt w:val="decimal"/>
      <w:lvlText w:val="%7."/>
      <w:lvlJc w:val="left"/>
      <w:pPr>
        <w:ind w:left="3219" w:hanging="420"/>
      </w:pPr>
    </w:lvl>
    <w:lvl w:ilvl="7" w:tentative="0">
      <w:start w:val="1"/>
      <w:numFmt w:val="lowerLetter"/>
      <w:lvlText w:val="%8)"/>
      <w:lvlJc w:val="left"/>
      <w:pPr>
        <w:ind w:left="3639" w:hanging="420"/>
      </w:pPr>
    </w:lvl>
    <w:lvl w:ilvl="8" w:tentative="0">
      <w:start w:val="1"/>
      <w:numFmt w:val="lowerRoman"/>
      <w:lvlText w:val="%9."/>
      <w:lvlJc w:val="right"/>
      <w:pPr>
        <w:ind w:left="4059"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4B4406F0"/>
    <w:rsid w:val="4B44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line="380" w:lineRule="exact"/>
    </w:pPr>
    <w:rPr>
      <w:rFonts w:ascii="Times New Roman" w:hAnsi="Times New Roman" w:eastAsia="宋体" w:cs="Times New Roman"/>
      <w:kern w:val="0"/>
      <w:sz w:val="24"/>
      <w:szCs w:val="24"/>
    </w:rPr>
  </w:style>
  <w:style w:type="paragraph" w:customStyle="1" w:styleId="5">
    <w:name w:val="表格文字"/>
    <w:basedOn w:val="1"/>
    <w:qFormat/>
    <w:uiPriority w:val="99"/>
    <w:pPr>
      <w:spacing w:before="25" w:after="25"/>
      <w:jc w:val="left"/>
    </w:pPr>
    <w:rPr>
      <w:rFonts w:ascii="Times New Roman" w:hAnsi="Times New Roman" w:eastAsia="宋体" w:cs="Times New Roman"/>
      <w:spacing w:val="1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2024-06-12T03:40:00Z</dcterms:created>
  <dc:creator>许静敏。</dc:creator>
  <cp:lastModifiedBy>许静敏。</cp:lastModifiedBy>
  <dcterms:modified xsi:type="dcterms:W3CDTF">2024-06-12T03:40:22Z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D58241546F3347EC9B531DC3297725E9_11</vt:lpwstr>
  </property>
</Properties>
</file>