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cs="宋体"/>
          <w:b/>
          <w:sz w:val="44"/>
          <w:szCs w:val="44"/>
          <w:highlight w:val="none"/>
          <w:lang w:eastAsia="zh-CN"/>
        </w:rPr>
      </w:pPr>
      <w:r>
        <w:rPr>
          <w:rFonts w:hint="eastAsia" w:ascii="宋体" w:hAnsi="宋体" w:cs="宋体"/>
          <w:b/>
          <w:szCs w:val="21"/>
          <w:highlight w:val="none"/>
        </w:rPr>
        <w:t>附件2：</w:t>
      </w:r>
    </w:p>
    <w:p>
      <w:pPr>
        <w:jc w:val="center"/>
        <w:outlineLvl w:val="0"/>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采购需求方案</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color w:val="FF0000"/>
          <w:sz w:val="24"/>
          <w:szCs w:val="24"/>
          <w:highlight w:val="none"/>
        </w:rPr>
      </w:pPr>
      <w:r>
        <w:rPr>
          <w:rStyle w:val="4"/>
          <w:rFonts w:hint="eastAsia" w:hAnsi="宋体" w:eastAsia="宋体" w:cs="宋体"/>
          <w:b/>
          <w:sz w:val="24"/>
          <w:szCs w:val="24"/>
          <w:highlight w:val="none"/>
        </w:rPr>
        <w:t>项目</w:t>
      </w:r>
      <w:r>
        <w:rPr>
          <w:rStyle w:val="4"/>
          <w:rFonts w:hint="eastAsia" w:hAnsi="宋体" w:cs="宋体"/>
          <w:b/>
          <w:sz w:val="24"/>
          <w:szCs w:val="24"/>
          <w:highlight w:val="none"/>
          <w:lang w:eastAsia="zh-CN"/>
        </w:rPr>
        <w:t>报价</w:t>
      </w:r>
      <w:r>
        <w:rPr>
          <w:rStyle w:val="4"/>
          <w:rFonts w:hint="eastAsia" w:hAnsi="宋体" w:eastAsia="宋体" w:cs="宋体"/>
          <w:b/>
          <w:sz w:val="24"/>
          <w:szCs w:val="24"/>
          <w:highlight w:val="none"/>
        </w:rPr>
        <w:t>表:</w:t>
      </w:r>
    </w:p>
    <w:tbl>
      <w:tblPr>
        <w:tblStyle w:val="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40"/>
        <w:gridCol w:w="3217"/>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59" w:type="dxa"/>
            <w:tcBorders>
              <w:top w:val="single" w:color="auto" w:sz="12" w:space="0"/>
              <w:left w:val="single" w:color="auto" w:sz="4" w:space="0"/>
              <w:bottom w:val="single" w:color="auto" w:sz="4" w:space="0"/>
              <w:right w:val="single" w:color="auto" w:sz="4" w:space="0"/>
            </w:tcBorders>
            <w:noWrap/>
            <w:vAlign w:val="center"/>
          </w:tcPr>
          <w:p>
            <w:pPr>
              <w:pStyle w:val="6"/>
              <w:adjustRightInd w:val="0"/>
              <w:snapToGrid w:val="0"/>
              <w:spacing w:line="360" w:lineRule="auto"/>
              <w:jc w:val="center"/>
              <w:rPr>
                <w:rStyle w:val="4"/>
                <w:rFonts w:hint="eastAsia" w:ascii="宋体" w:hAnsi="宋体" w:eastAsia="宋体" w:cs="宋体"/>
                <w:b/>
                <w:bCs/>
                <w:sz w:val="24"/>
                <w:highlight w:val="none"/>
              </w:rPr>
            </w:pPr>
            <w:r>
              <w:rPr>
                <w:rStyle w:val="4"/>
                <w:rFonts w:hint="eastAsia" w:ascii="宋体" w:hAnsi="宋体" w:eastAsia="宋体" w:cs="宋体"/>
                <w:b/>
                <w:bCs/>
                <w:sz w:val="24"/>
                <w:highlight w:val="none"/>
              </w:rPr>
              <w:t>采购内容</w:t>
            </w:r>
          </w:p>
        </w:tc>
        <w:tc>
          <w:tcPr>
            <w:tcW w:w="1240" w:type="dxa"/>
            <w:tcBorders>
              <w:top w:val="single" w:color="auto" w:sz="12" w:space="0"/>
              <w:left w:val="single" w:color="auto" w:sz="4" w:space="0"/>
              <w:bottom w:val="single" w:color="auto" w:sz="4" w:space="0"/>
              <w:right w:val="single" w:color="auto" w:sz="4" w:space="0"/>
            </w:tcBorders>
            <w:noWrap/>
            <w:vAlign w:val="center"/>
          </w:tcPr>
          <w:p>
            <w:pPr>
              <w:pStyle w:val="6"/>
              <w:adjustRightInd w:val="0"/>
              <w:snapToGrid w:val="0"/>
              <w:spacing w:line="360" w:lineRule="auto"/>
              <w:jc w:val="center"/>
              <w:rPr>
                <w:rStyle w:val="4"/>
                <w:rFonts w:hint="eastAsia" w:ascii="宋体" w:hAnsi="宋体" w:eastAsia="宋体" w:cs="宋体"/>
                <w:b/>
                <w:bCs/>
                <w:sz w:val="24"/>
                <w:highlight w:val="none"/>
              </w:rPr>
            </w:pPr>
            <w:r>
              <w:rPr>
                <w:rStyle w:val="4"/>
                <w:rFonts w:hint="eastAsia" w:ascii="宋体" w:hAnsi="宋体" w:eastAsia="宋体" w:cs="宋体"/>
                <w:b/>
                <w:bCs/>
                <w:sz w:val="24"/>
                <w:highlight w:val="none"/>
              </w:rPr>
              <w:t>数量</w:t>
            </w:r>
          </w:p>
        </w:tc>
        <w:tc>
          <w:tcPr>
            <w:tcW w:w="3217" w:type="dxa"/>
            <w:tcBorders>
              <w:top w:val="single" w:color="auto" w:sz="12" w:space="0"/>
              <w:left w:val="single" w:color="auto" w:sz="4" w:space="0"/>
              <w:bottom w:val="single" w:color="auto" w:sz="4" w:space="0"/>
              <w:right w:val="single" w:color="auto" w:sz="4" w:space="0"/>
            </w:tcBorders>
            <w:noWrap/>
            <w:vAlign w:val="center"/>
          </w:tcPr>
          <w:p>
            <w:pPr>
              <w:pStyle w:val="6"/>
              <w:adjustRightInd w:val="0"/>
              <w:snapToGrid w:val="0"/>
              <w:spacing w:line="360" w:lineRule="auto"/>
              <w:jc w:val="center"/>
              <w:rPr>
                <w:rStyle w:val="4"/>
                <w:rFonts w:hint="eastAsia" w:ascii="宋体" w:hAnsi="宋体" w:eastAsia="宋体" w:cs="宋体"/>
                <w:b/>
                <w:bCs/>
                <w:sz w:val="24"/>
                <w:highlight w:val="none"/>
                <w:lang w:eastAsia="zh-CN"/>
              </w:rPr>
            </w:pPr>
            <w:r>
              <w:rPr>
                <w:rStyle w:val="4"/>
                <w:rFonts w:hint="eastAsia" w:ascii="宋体" w:hAnsi="宋体" w:eastAsia="宋体" w:cs="宋体"/>
                <w:b/>
                <w:bCs/>
                <w:sz w:val="24"/>
                <w:highlight w:val="none"/>
                <w:lang w:eastAsia="zh-CN"/>
              </w:rPr>
              <w:t>项目总价（人民币：元）</w:t>
            </w:r>
          </w:p>
        </w:tc>
        <w:tc>
          <w:tcPr>
            <w:tcW w:w="3233" w:type="dxa"/>
            <w:tcBorders>
              <w:top w:val="single" w:color="auto" w:sz="12" w:space="0"/>
              <w:left w:val="single" w:color="auto" w:sz="4" w:space="0"/>
              <w:bottom w:val="single" w:color="auto" w:sz="4" w:space="0"/>
              <w:right w:val="single" w:color="auto" w:sz="12" w:space="0"/>
            </w:tcBorders>
            <w:noWrap/>
            <w:vAlign w:val="center"/>
          </w:tcPr>
          <w:p>
            <w:pPr>
              <w:pStyle w:val="6"/>
              <w:adjustRightInd w:val="0"/>
              <w:snapToGrid w:val="0"/>
              <w:spacing w:line="360" w:lineRule="auto"/>
              <w:jc w:val="center"/>
              <w:rPr>
                <w:rStyle w:val="4"/>
                <w:rFonts w:hint="eastAsia" w:ascii="宋体" w:hAnsi="宋体" w:eastAsia="宋体" w:cs="宋体"/>
                <w:b/>
                <w:bCs/>
                <w:sz w:val="24"/>
                <w:highlight w:val="none"/>
              </w:rPr>
            </w:pPr>
            <w:r>
              <w:rPr>
                <w:rStyle w:val="4"/>
                <w:rFonts w:hint="eastAsia" w:ascii="宋体" w:hAnsi="宋体" w:eastAsia="宋体" w:cs="宋体"/>
                <w:b/>
                <w:sz w:val="24"/>
                <w:highlight w:val="none"/>
              </w:rPr>
              <w:t>供应期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59" w:type="dxa"/>
            <w:tcBorders>
              <w:top w:val="single" w:color="auto" w:sz="4" w:space="0"/>
              <w:left w:val="single" w:color="auto" w:sz="4" w:space="0"/>
              <w:bottom w:val="single" w:color="auto" w:sz="12" w:space="0"/>
              <w:right w:val="single" w:color="auto" w:sz="4" w:space="0"/>
            </w:tcBorders>
            <w:noWrap/>
            <w:vAlign w:val="center"/>
          </w:tcPr>
          <w:p>
            <w:pPr>
              <w:pStyle w:val="6"/>
              <w:adjustRightInd w:val="0"/>
              <w:snapToGrid w:val="0"/>
              <w:spacing w:line="360" w:lineRule="auto"/>
              <w:jc w:val="center"/>
              <w:rPr>
                <w:rStyle w:val="4"/>
                <w:rFonts w:hint="eastAsia" w:ascii="宋体" w:hAnsi="宋体" w:eastAsia="宋体" w:cs="宋体"/>
                <w:bCs/>
                <w:sz w:val="24"/>
                <w:highlight w:val="none"/>
              </w:rPr>
            </w:pPr>
            <w:r>
              <w:rPr>
                <w:rStyle w:val="4"/>
                <w:rFonts w:hint="eastAsia" w:ascii="宋体" w:hAnsi="宋体" w:eastAsia="宋体" w:cs="宋体"/>
                <w:bCs/>
                <w:sz w:val="24"/>
                <w:highlight w:val="none"/>
              </w:rPr>
              <w:t>202</w:t>
            </w:r>
            <w:r>
              <w:rPr>
                <w:rStyle w:val="4"/>
                <w:rFonts w:hint="eastAsia" w:ascii="宋体" w:hAnsi="宋体" w:eastAsia="宋体" w:cs="宋体"/>
                <w:bCs/>
                <w:sz w:val="24"/>
                <w:highlight w:val="none"/>
                <w:lang w:val="en-US" w:eastAsia="zh-CN"/>
              </w:rPr>
              <w:t>4</w:t>
            </w:r>
            <w:r>
              <w:rPr>
                <w:rStyle w:val="4"/>
                <w:rFonts w:hint="eastAsia" w:ascii="宋体" w:hAnsi="宋体" w:eastAsia="宋体" w:cs="宋体"/>
                <w:bCs/>
                <w:sz w:val="24"/>
                <w:highlight w:val="none"/>
              </w:rPr>
              <w:t>-202</w:t>
            </w:r>
            <w:r>
              <w:rPr>
                <w:rStyle w:val="4"/>
                <w:rFonts w:hint="eastAsia" w:ascii="宋体" w:hAnsi="宋体" w:eastAsia="宋体" w:cs="宋体"/>
                <w:bCs/>
                <w:sz w:val="24"/>
                <w:highlight w:val="none"/>
                <w:lang w:val="en-US" w:eastAsia="zh-CN"/>
              </w:rPr>
              <w:t>6年</w:t>
            </w:r>
            <w:r>
              <w:rPr>
                <w:rStyle w:val="4"/>
                <w:rFonts w:hint="eastAsia" w:ascii="宋体" w:hAnsi="宋体" w:eastAsia="宋体" w:cs="宋体"/>
                <w:bCs/>
                <w:sz w:val="24"/>
                <w:highlight w:val="none"/>
              </w:rPr>
              <w:t>办公日用品项目</w:t>
            </w:r>
          </w:p>
        </w:tc>
        <w:tc>
          <w:tcPr>
            <w:tcW w:w="1240" w:type="dxa"/>
            <w:tcBorders>
              <w:top w:val="single" w:color="auto" w:sz="4" w:space="0"/>
              <w:left w:val="single" w:color="auto" w:sz="4" w:space="0"/>
              <w:bottom w:val="single" w:color="auto" w:sz="12" w:space="0"/>
              <w:right w:val="single" w:color="auto" w:sz="4" w:space="0"/>
            </w:tcBorders>
            <w:noWrap/>
            <w:vAlign w:val="center"/>
          </w:tcPr>
          <w:p>
            <w:pPr>
              <w:pStyle w:val="6"/>
              <w:adjustRightInd w:val="0"/>
              <w:snapToGrid w:val="0"/>
              <w:spacing w:line="360" w:lineRule="auto"/>
              <w:jc w:val="center"/>
              <w:rPr>
                <w:rStyle w:val="4"/>
                <w:rFonts w:hint="eastAsia" w:ascii="宋体" w:hAnsi="宋体" w:eastAsia="宋体" w:cs="宋体"/>
                <w:bCs/>
                <w:sz w:val="24"/>
                <w:highlight w:val="none"/>
              </w:rPr>
            </w:pPr>
            <w:r>
              <w:rPr>
                <w:rStyle w:val="4"/>
                <w:rFonts w:hint="eastAsia" w:ascii="宋体" w:hAnsi="宋体" w:eastAsia="宋体" w:cs="宋体"/>
                <w:bCs/>
                <w:sz w:val="24"/>
                <w:highlight w:val="none"/>
              </w:rPr>
              <w:t>1批</w:t>
            </w:r>
          </w:p>
        </w:tc>
        <w:tc>
          <w:tcPr>
            <w:tcW w:w="3217" w:type="dxa"/>
            <w:tcBorders>
              <w:top w:val="single" w:color="auto" w:sz="4" w:space="0"/>
              <w:left w:val="single" w:color="auto" w:sz="4" w:space="0"/>
              <w:bottom w:val="single" w:color="auto" w:sz="12" w:space="0"/>
              <w:right w:val="single" w:color="auto" w:sz="4" w:space="0"/>
            </w:tcBorders>
            <w:noWrap/>
            <w:vAlign w:val="center"/>
          </w:tcPr>
          <w:p>
            <w:pPr>
              <w:pStyle w:val="6"/>
              <w:adjustRightInd w:val="0"/>
              <w:snapToGrid w:val="0"/>
              <w:spacing w:line="360" w:lineRule="auto"/>
              <w:jc w:val="center"/>
              <w:rPr>
                <w:rStyle w:val="4"/>
                <w:rFonts w:hint="eastAsia" w:ascii="宋体" w:hAnsi="宋体" w:eastAsia="宋体" w:cs="宋体"/>
                <w:bCs/>
                <w:sz w:val="24"/>
                <w:highlight w:val="none"/>
              </w:rPr>
            </w:pPr>
          </w:p>
        </w:tc>
        <w:tc>
          <w:tcPr>
            <w:tcW w:w="3233" w:type="dxa"/>
            <w:tcBorders>
              <w:top w:val="single" w:color="auto" w:sz="4" w:space="0"/>
              <w:left w:val="single" w:color="auto" w:sz="4" w:space="0"/>
              <w:bottom w:val="single" w:color="auto" w:sz="12" w:space="0"/>
              <w:right w:val="single" w:color="auto" w:sz="12" w:space="0"/>
            </w:tcBorders>
            <w:noWrap/>
            <w:vAlign w:val="center"/>
          </w:tcPr>
          <w:p>
            <w:pPr>
              <w:pStyle w:val="6"/>
              <w:adjustRightInd w:val="0"/>
              <w:snapToGrid w:val="0"/>
              <w:spacing w:line="360" w:lineRule="auto"/>
              <w:jc w:val="center"/>
              <w:rPr>
                <w:rStyle w:val="4"/>
                <w:rFonts w:hint="eastAsia" w:ascii="宋体" w:hAnsi="宋体" w:eastAsia="宋体" w:cs="宋体"/>
                <w:bCs/>
                <w:sz w:val="24"/>
                <w:highlight w:val="none"/>
              </w:rPr>
            </w:pPr>
            <w:r>
              <w:rPr>
                <w:rStyle w:val="4"/>
                <w:rFonts w:hint="eastAsia" w:ascii="宋体" w:hAnsi="宋体" w:eastAsia="宋体" w:cs="宋体"/>
                <w:bCs/>
                <w:sz w:val="24"/>
                <w:highlight w:val="none"/>
              </w:rPr>
              <w:t>服务期限为2年（自合同签订之日起）</w:t>
            </w:r>
          </w:p>
        </w:tc>
      </w:tr>
    </w:tbl>
    <w:p>
      <w:pPr>
        <w:pStyle w:val="5"/>
        <w:numPr>
          <w:ilvl w:val="0"/>
          <w:numId w:val="1"/>
        </w:numPr>
        <w:tabs>
          <w:tab w:val="left" w:pos="540"/>
        </w:tabs>
        <w:bidi w:val="0"/>
        <w:adjustRightInd w:val="0"/>
        <w:snapToGrid w:val="0"/>
        <w:spacing w:line="360" w:lineRule="auto"/>
        <w:ind w:left="420" w:leftChars="0" w:firstLineChars="0"/>
        <w:rPr>
          <w:rStyle w:val="4"/>
          <w:rFonts w:hint="eastAsia" w:ascii="Times New Roman" w:hAnsi="宋体" w:eastAsia="宋体" w:cs="宋体"/>
          <w:b/>
          <w:sz w:val="24"/>
          <w:szCs w:val="24"/>
          <w:highlight w:val="none"/>
        </w:rPr>
      </w:pPr>
      <w:r>
        <w:rPr>
          <w:rStyle w:val="4"/>
          <w:rFonts w:hint="eastAsia" w:ascii="Times New Roman" w:hAnsi="宋体" w:eastAsia="宋体" w:cs="宋体"/>
          <w:b/>
          <w:sz w:val="24"/>
          <w:szCs w:val="24"/>
          <w:highlight w:val="none"/>
          <w:lang w:eastAsia="zh-CN"/>
        </w:rPr>
        <w:t>项目概况：</w:t>
      </w:r>
    </w:p>
    <w:p>
      <w:pPr>
        <w:pStyle w:val="5"/>
        <w:numPr>
          <w:ilvl w:val="0"/>
          <w:numId w:val="0"/>
        </w:numPr>
        <w:tabs>
          <w:tab w:val="left" w:pos="540"/>
        </w:tabs>
        <w:bidi w:val="0"/>
        <w:adjustRightInd w:val="0"/>
        <w:snapToGrid w:val="0"/>
        <w:spacing w:line="360" w:lineRule="auto"/>
        <w:ind w:leftChars="0" w:firstLine="480" w:firstLineChars="200"/>
        <w:rPr>
          <w:rStyle w:val="4"/>
          <w:rFonts w:hint="eastAsia" w:ascii="Times New Roman" w:hAnsi="宋体" w:eastAsia="宋体" w:cs="宋体"/>
          <w:sz w:val="24"/>
          <w:szCs w:val="24"/>
          <w:highlight w:val="none"/>
        </w:rPr>
      </w:pPr>
      <w:r>
        <w:rPr>
          <w:rStyle w:val="4"/>
          <w:rFonts w:hint="eastAsia" w:hAnsi="宋体" w:eastAsia="宋体" w:cs="宋体"/>
          <w:sz w:val="24"/>
          <w:szCs w:val="24"/>
          <w:highlight w:val="none"/>
        </w:rPr>
        <w:t>1、本项目供货地点地处广州市 天河区、越秀区、白云区</w:t>
      </w:r>
      <w:r>
        <w:rPr>
          <w:rStyle w:val="4"/>
          <w:rFonts w:hint="eastAsia" w:hAnsi="宋体" w:eastAsia="宋体" w:cs="宋体"/>
          <w:sz w:val="24"/>
          <w:szCs w:val="24"/>
          <w:highlight w:val="none"/>
          <w:lang w:eastAsia="zh-CN"/>
        </w:rPr>
        <w:t>、</w:t>
      </w:r>
      <w:r>
        <w:rPr>
          <w:rStyle w:val="4"/>
          <w:rFonts w:hint="eastAsia" w:hAnsi="宋体" w:eastAsia="宋体" w:cs="宋体"/>
          <w:sz w:val="24"/>
          <w:szCs w:val="24"/>
          <w:highlight w:val="none"/>
          <w:lang w:eastAsia="zh-CN"/>
        </w:rPr>
        <w:t>增城区</w:t>
      </w:r>
      <w:r>
        <w:rPr>
          <w:rStyle w:val="4"/>
          <w:rFonts w:hint="eastAsia" w:hAnsi="宋体" w:eastAsia="宋体" w:cs="宋体"/>
          <w:sz w:val="24"/>
          <w:szCs w:val="24"/>
          <w:highlight w:val="none"/>
        </w:rPr>
        <w:t>范围内，地点为：儿童院区广州市越秀区人民中路 318 号；妇婴院区广州市越秀区人民中路 402 号；珠江新城院区广州市天河区金穗路 9号；白云院区广州市白云区新达路 91号</w:t>
      </w:r>
      <w:r>
        <w:rPr>
          <w:rStyle w:val="4"/>
          <w:rFonts w:hint="eastAsia" w:ascii="Times New Roman" w:hAnsi="宋体" w:eastAsia="宋体" w:cs="宋体"/>
          <w:sz w:val="24"/>
          <w:szCs w:val="24"/>
          <w:highlight w:val="none"/>
          <w:lang w:eastAsia="zh-CN"/>
        </w:rPr>
        <w:t>，</w:t>
      </w:r>
      <w:r>
        <w:rPr>
          <w:rStyle w:val="4"/>
          <w:rFonts w:hint="eastAsia" w:ascii="Times New Roman" w:hAnsi="宋体" w:eastAsia="宋体" w:cs="宋体"/>
          <w:sz w:val="24"/>
          <w:szCs w:val="24"/>
          <w:highlight w:val="none"/>
          <w:lang w:val="en-US" w:eastAsia="zh-CN"/>
        </w:rPr>
        <w:t>增城院区广州市增城区增城大道293号</w:t>
      </w:r>
      <w:r>
        <w:rPr>
          <w:rStyle w:val="4"/>
          <w:rFonts w:hint="eastAsia" w:ascii="Times New Roman" w:hAnsi="宋体" w:eastAsia="宋体" w:cs="宋体"/>
          <w:sz w:val="24"/>
          <w:szCs w:val="24"/>
          <w:highlight w:val="none"/>
        </w:rPr>
        <w:t>。</w:t>
      </w:r>
    </w:p>
    <w:p>
      <w:pPr>
        <w:pStyle w:val="5"/>
        <w:tabs>
          <w:tab w:val="left" w:pos="540"/>
        </w:tabs>
        <w:bidi w:val="0"/>
        <w:adjustRightInd w:val="0"/>
        <w:snapToGrid w:val="0"/>
        <w:spacing w:line="360" w:lineRule="auto"/>
        <w:ind w:firstLine="240" w:firstLineChars="100"/>
        <w:rPr>
          <w:rStyle w:val="4"/>
          <w:rFonts w:hint="eastAsia" w:hAnsi="宋体" w:eastAsia="宋体" w:cs="宋体"/>
          <w:sz w:val="24"/>
          <w:szCs w:val="24"/>
        </w:rPr>
      </w:pPr>
      <w:r>
        <w:rPr>
          <w:rStyle w:val="4"/>
          <w:rFonts w:hint="eastAsia" w:hAnsi="宋体" w:eastAsia="宋体" w:cs="宋体"/>
          <w:sz w:val="24"/>
          <w:szCs w:val="24"/>
        </w:rPr>
        <w:t>2、采购人采购员每星期二、星期五统一下单，中标人应及时响应，第二个工作日配送到位，节假日长假期视情况顺延。</w:t>
      </w:r>
    </w:p>
    <w:p>
      <w:pPr>
        <w:pStyle w:val="5"/>
        <w:tabs>
          <w:tab w:val="left" w:pos="540"/>
        </w:tabs>
        <w:bidi w:val="0"/>
        <w:adjustRightInd w:val="0"/>
        <w:snapToGrid w:val="0"/>
        <w:spacing w:line="360" w:lineRule="auto"/>
        <w:ind w:firstLine="240" w:firstLineChars="100"/>
        <w:rPr>
          <w:rStyle w:val="4"/>
          <w:rFonts w:hint="eastAsia" w:hAnsi="宋体" w:eastAsia="宋体" w:cs="宋体"/>
          <w:sz w:val="24"/>
          <w:szCs w:val="24"/>
        </w:rPr>
      </w:pPr>
      <w:r>
        <w:rPr>
          <w:rStyle w:val="4"/>
          <w:rFonts w:hint="eastAsia" w:hAnsi="宋体" w:eastAsia="宋体" w:cs="宋体"/>
          <w:sz w:val="24"/>
          <w:szCs w:val="24"/>
        </w:rPr>
        <w:t>3、中标人应响应采购人的紧急采购的商品需求，具体由双方商量决定。</w:t>
      </w:r>
    </w:p>
    <w:p>
      <w:pPr>
        <w:pStyle w:val="5"/>
        <w:tabs>
          <w:tab w:val="left" w:pos="540"/>
        </w:tabs>
        <w:bidi w:val="0"/>
        <w:adjustRightInd w:val="0"/>
        <w:snapToGrid w:val="0"/>
        <w:spacing w:line="360" w:lineRule="auto"/>
        <w:ind w:firstLine="240" w:firstLineChars="100"/>
        <w:rPr>
          <w:rStyle w:val="4"/>
          <w:rFonts w:hint="eastAsia" w:hAnsi="宋体" w:eastAsia="宋体" w:cs="宋体"/>
          <w:sz w:val="24"/>
          <w:szCs w:val="24"/>
        </w:rPr>
      </w:pPr>
      <w:r>
        <w:rPr>
          <w:rStyle w:val="4"/>
          <w:rFonts w:hint="eastAsia" w:hAnsi="宋体" w:eastAsia="宋体" w:cs="宋体"/>
          <w:color w:val="000000"/>
          <w:sz w:val="24"/>
          <w:szCs w:val="24"/>
        </w:rPr>
        <w:t>4、</w:t>
      </w:r>
      <w:r>
        <w:rPr>
          <w:rStyle w:val="4"/>
          <w:rFonts w:hint="eastAsia" w:hAnsi="宋体" w:eastAsia="宋体" w:cs="宋体"/>
          <w:color w:val="FF0000"/>
          <w:sz w:val="24"/>
          <w:szCs w:val="24"/>
        </w:rPr>
        <w:t>★</w:t>
      </w:r>
      <w:r>
        <w:rPr>
          <w:rStyle w:val="4"/>
          <w:rFonts w:hint="eastAsia" w:hAnsi="宋体" w:eastAsia="宋体" w:cs="宋体"/>
          <w:sz w:val="24"/>
          <w:szCs w:val="24"/>
        </w:rPr>
        <w:t>本次采购产品为非进口产品（进口产品指通过中国海关报关验放进入中国境内且产自关境外的产品。</w:t>
      </w:r>
    </w:p>
    <w:p>
      <w:pPr>
        <w:pStyle w:val="6"/>
        <w:bidi w:val="0"/>
        <w:spacing w:line="360" w:lineRule="auto"/>
        <w:ind w:firstLine="240" w:firstLineChars="100"/>
        <w:rPr>
          <w:rStyle w:val="4"/>
          <w:rFonts w:hint="eastAsia" w:ascii="宋体" w:hAnsi="宋体" w:eastAsia="宋体" w:cs="宋体"/>
          <w:sz w:val="24"/>
        </w:rPr>
      </w:pPr>
      <w:r>
        <w:rPr>
          <w:rStyle w:val="4"/>
          <w:rFonts w:hint="eastAsia" w:ascii="宋体" w:hAnsi="宋体" w:eastAsia="宋体" w:cs="宋体"/>
          <w:sz w:val="24"/>
        </w:rPr>
        <w:t>5、</w:t>
      </w:r>
      <w:r>
        <w:rPr>
          <w:rStyle w:val="4"/>
          <w:rFonts w:hint="eastAsia" w:ascii="宋体" w:hAnsi="宋体" w:eastAsia="宋体" w:cs="宋体"/>
          <w:color w:val="FF0000"/>
          <w:sz w:val="24"/>
        </w:rPr>
        <w:t>★</w:t>
      </w:r>
      <w:r>
        <w:rPr>
          <w:rStyle w:val="4"/>
          <w:rFonts w:hint="eastAsia" w:ascii="宋体" w:hAnsi="宋体" w:eastAsia="宋体" w:cs="宋体"/>
          <w:sz w:val="24"/>
        </w:rPr>
        <w:t>采购人拟采购的产品属于《节能产品政府采购品目清单》范围中政府强制采购产品类别的，投标人须在投标文件中提供：1.该产品属于《节能产品政府采购品目清单》范围</w:t>
      </w:r>
      <w:r>
        <w:rPr>
          <w:rStyle w:val="4"/>
          <w:rFonts w:hint="eastAsia" w:ascii="宋体" w:hAnsi="宋体" w:eastAsia="宋体" w:cs="宋体"/>
          <w:sz w:val="24"/>
          <w:lang w:val="en-GB"/>
        </w:rPr>
        <w:t>中</w:t>
      </w:r>
      <w:r>
        <w:rPr>
          <w:rStyle w:val="4"/>
          <w:rFonts w:hint="eastAsia" w:ascii="宋体" w:hAnsi="宋体" w:eastAsia="宋体" w:cs="宋体"/>
          <w:sz w:val="24"/>
        </w:rPr>
        <w:t>政府强制采购产品类别的</w:t>
      </w:r>
      <w:r>
        <w:rPr>
          <w:rStyle w:val="4"/>
          <w:rFonts w:hint="eastAsia" w:ascii="宋体" w:hAnsi="宋体" w:eastAsia="宋体" w:cs="宋体"/>
          <w:sz w:val="24"/>
          <w:lang w:val="en-GB"/>
        </w:rPr>
        <w:t>相关内容页，并对相关内容作圈记；2.</w:t>
      </w:r>
      <w:r>
        <w:rPr>
          <w:rStyle w:val="4"/>
          <w:rFonts w:hint="eastAsia" w:ascii="宋体" w:hAnsi="宋体" w:eastAsia="宋体" w:cs="宋体"/>
          <w:sz w:val="24"/>
        </w:rPr>
        <w:t>市场监管总局公布的参与实施政府采购节能产品认证机构名录截图</w:t>
      </w:r>
      <w:r>
        <w:rPr>
          <w:rStyle w:val="4"/>
          <w:rFonts w:hint="eastAsia" w:ascii="宋体" w:hAnsi="宋体" w:eastAsia="宋体" w:cs="宋体"/>
          <w:sz w:val="24"/>
          <w:lang w:val="en-GB"/>
        </w:rPr>
        <w:t>；3.</w:t>
      </w:r>
      <w:r>
        <w:rPr>
          <w:rStyle w:val="4"/>
          <w:rFonts w:hint="eastAsia" w:ascii="宋体" w:hAnsi="宋体" w:eastAsia="宋体" w:cs="宋体"/>
          <w:sz w:val="24"/>
        </w:rPr>
        <w:t>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w:t>
      </w:r>
      <w:r>
        <w:rPr>
          <w:rStyle w:val="4"/>
          <w:rFonts w:hint="eastAsia" w:ascii="宋体" w:hAnsi="宋体" w:cs="宋体"/>
          <w:sz w:val="24"/>
          <w:lang w:val="en-US" w:eastAsia="zh-CN"/>
        </w:rPr>
        <w:t>21</w:t>
      </w:r>
      <w:r>
        <w:rPr>
          <w:rStyle w:val="4"/>
          <w:rFonts w:hint="eastAsia" w:ascii="宋体" w:hAnsi="宋体" w:eastAsia="宋体" w:cs="宋体"/>
          <w:sz w:val="24"/>
        </w:rPr>
        <w:t>年6 月1 日）。</w:t>
      </w:r>
    </w:p>
    <w:p>
      <w:pPr>
        <w:pStyle w:val="6"/>
        <w:bidi w:val="0"/>
        <w:spacing w:line="360" w:lineRule="auto"/>
        <w:ind w:firstLine="240" w:firstLineChars="100"/>
        <w:rPr>
          <w:rStyle w:val="4"/>
          <w:rFonts w:hint="eastAsia" w:ascii="宋体" w:hAnsi="宋体" w:eastAsia="宋体" w:cs="宋体"/>
          <w:sz w:val="24"/>
        </w:rPr>
      </w:pPr>
      <w:r>
        <w:rPr>
          <w:rStyle w:val="4"/>
          <w:rFonts w:hint="eastAsia" w:ascii="宋体" w:hAnsi="宋体" w:eastAsia="宋体" w:cs="宋体"/>
          <w:bCs/>
          <w:color w:val="000000"/>
          <w:sz w:val="24"/>
        </w:rPr>
        <w:t>6、</w:t>
      </w:r>
      <w:r>
        <w:rPr>
          <w:rStyle w:val="4"/>
          <w:rFonts w:hint="eastAsia" w:ascii="宋体" w:hAnsi="宋体" w:eastAsia="宋体" w:cs="宋体"/>
          <w:sz w:val="24"/>
        </w:rPr>
        <w:t>采购人拟采购的产品属于《节能产品政府采购品目清单》范围中政府优先采购产品类别的，投标人需填写《</w:t>
      </w:r>
      <w:r>
        <w:rPr>
          <w:rStyle w:val="4"/>
          <w:rFonts w:hint="eastAsia" w:ascii="宋体" w:hAnsi="宋体" w:eastAsia="宋体" w:cs="宋体"/>
          <w:sz w:val="24"/>
          <w:lang w:val="en-GB"/>
        </w:rPr>
        <w:t>产品适用政府采购政策情况表</w:t>
      </w:r>
      <w:r>
        <w:rPr>
          <w:rStyle w:val="4"/>
          <w:rFonts w:hint="eastAsia" w:ascii="宋体" w:hAnsi="宋体" w:eastAsia="宋体" w:cs="宋体"/>
          <w:sz w:val="24"/>
        </w:rPr>
        <w:t>》（见投标文件格式）并提交相关证明材料（证明材料包括：1.该产品属于《节能产品政府采购品目清单》范围中政府优先采购产品类别的相关内容页，并对相关内容作圈记；2.市场监管总局公布的参与实施政府采购节能产品认证机构名录截图；3.该产品获得的由国家确定的认证机构出具的、处于有效期之内的节能产品认证证书），作为价格评审中价格扣除的依据（注：1.《节能产品政府采购品目清单》投标人可查询中国政府采购网，网址</w:t>
      </w:r>
      <w:r>
        <w:rPr>
          <w:rFonts w:hint="eastAsia" w:ascii="宋体" w:hAnsi="宋体" w:eastAsia="宋体" w:cs="宋体"/>
          <w:sz w:val="24"/>
        </w:rPr>
        <w:fldChar w:fldCharType="begin"/>
      </w:r>
      <w:r>
        <w:rPr>
          <w:rStyle w:val="4"/>
          <w:rFonts w:hint="eastAsia" w:ascii="宋体" w:hAnsi="宋体" w:eastAsia="宋体" w:cs="宋体"/>
          <w:sz w:val="24"/>
        </w:rPr>
        <w:instrText xml:space="preserve"> HYPERLINK "http://www.ccgp.gov.cn" </w:instrText>
      </w:r>
      <w:r>
        <w:rPr>
          <w:rFonts w:hint="eastAsia" w:ascii="宋体" w:hAnsi="宋体" w:eastAsia="宋体" w:cs="宋体"/>
          <w:sz w:val="24"/>
        </w:rPr>
        <w:fldChar w:fldCharType="separate"/>
      </w:r>
      <w:r>
        <w:rPr>
          <w:rStyle w:val="7"/>
          <w:rFonts w:hint="eastAsia" w:ascii="宋体" w:hAnsi="宋体" w:eastAsia="宋体" w:cs="宋体"/>
          <w:sz w:val="24"/>
        </w:rPr>
        <w:t>http://www.ccgp.gov.cn</w:t>
      </w:r>
      <w:r>
        <w:rPr>
          <w:rFonts w:hint="eastAsia" w:ascii="宋体" w:hAnsi="宋体" w:eastAsia="宋体" w:cs="宋体"/>
          <w:sz w:val="24"/>
        </w:rPr>
        <w:fldChar w:fldCharType="end"/>
      </w:r>
      <w:r>
        <w:rPr>
          <w:rStyle w:val="4"/>
          <w:rFonts w:hint="eastAsia" w:ascii="宋体" w:hAnsi="宋体" w:eastAsia="宋体" w:cs="宋体"/>
          <w:sz w:val="24"/>
        </w:rPr>
        <w:t>；2.根据《节能产品政府采购品目清单》注2要求，上述产品中认证标准发生变更的，依据原认证标准获得的、仍在有效期内的认证证书可使用至2019 年6 月1 日）。</w:t>
      </w:r>
    </w:p>
    <w:p>
      <w:pPr>
        <w:pStyle w:val="6"/>
        <w:bidi w:val="0"/>
        <w:spacing w:line="360" w:lineRule="auto"/>
        <w:ind w:firstLine="240" w:firstLineChars="100"/>
        <w:rPr>
          <w:rStyle w:val="4"/>
          <w:rFonts w:hint="eastAsia" w:ascii="宋体" w:hAnsi="宋体" w:eastAsia="宋体" w:cs="宋体"/>
          <w:color w:val="0000FF"/>
          <w:sz w:val="24"/>
        </w:rPr>
      </w:pPr>
      <w:r>
        <w:rPr>
          <w:rStyle w:val="4"/>
          <w:rFonts w:hint="eastAsia" w:ascii="宋体" w:hAnsi="宋体" w:eastAsia="宋体" w:cs="宋体"/>
          <w:bCs/>
          <w:color w:val="000000"/>
          <w:sz w:val="24"/>
        </w:rPr>
        <w:t>7、</w:t>
      </w:r>
      <w:r>
        <w:rPr>
          <w:rStyle w:val="4"/>
          <w:rFonts w:hint="eastAsia" w:ascii="宋体" w:hAnsi="宋体" w:eastAsia="宋体" w:cs="宋体"/>
          <w:sz w:val="24"/>
        </w:rPr>
        <w:t>采购人拟采购的产品属于《环境标志产品政府采购品目清单》范围的，投标人需填写《</w:t>
      </w:r>
      <w:r>
        <w:rPr>
          <w:rStyle w:val="4"/>
          <w:rFonts w:hint="eastAsia" w:ascii="宋体" w:hAnsi="宋体" w:eastAsia="宋体" w:cs="宋体"/>
          <w:sz w:val="24"/>
          <w:lang w:val="en-GB"/>
        </w:rPr>
        <w:t>产品适用政府采购政策情况表</w:t>
      </w:r>
      <w:r>
        <w:rPr>
          <w:rStyle w:val="4"/>
          <w:rFonts w:hint="eastAsia" w:ascii="宋体" w:hAnsi="宋体" w:eastAsia="宋体" w:cs="宋体"/>
          <w:sz w:val="24"/>
        </w:rPr>
        <w:t>》（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价格评审中价格扣除的依据（注：《环境标志产品政府采购品目清单》投标人可查询中国政府采购网，网址</w:t>
      </w:r>
      <w:r>
        <w:rPr>
          <w:rFonts w:hint="eastAsia" w:ascii="宋体" w:hAnsi="宋体" w:eastAsia="宋体" w:cs="宋体"/>
          <w:sz w:val="24"/>
        </w:rPr>
        <w:fldChar w:fldCharType="begin"/>
      </w:r>
      <w:r>
        <w:rPr>
          <w:rStyle w:val="4"/>
          <w:rFonts w:hint="eastAsia" w:ascii="宋体" w:hAnsi="宋体" w:eastAsia="宋体" w:cs="宋体"/>
          <w:sz w:val="24"/>
        </w:rPr>
        <w:instrText xml:space="preserve"> HYPERLINK "http://www.ccgp.gov.cn" </w:instrText>
      </w:r>
      <w:r>
        <w:rPr>
          <w:rFonts w:hint="eastAsia" w:ascii="宋体" w:hAnsi="宋体" w:eastAsia="宋体" w:cs="宋体"/>
          <w:sz w:val="24"/>
        </w:rPr>
        <w:fldChar w:fldCharType="separate"/>
      </w:r>
      <w:r>
        <w:rPr>
          <w:rStyle w:val="4"/>
          <w:rFonts w:hint="eastAsia" w:ascii="宋体" w:hAnsi="宋体" w:eastAsia="宋体" w:cs="宋体"/>
          <w:sz w:val="24"/>
        </w:rPr>
        <w:t>http://www.ccgp.gov.cn</w:t>
      </w:r>
      <w:r>
        <w:rPr>
          <w:rFonts w:hint="eastAsia" w:ascii="宋体" w:hAnsi="宋体" w:eastAsia="宋体" w:cs="宋体"/>
          <w:sz w:val="24"/>
        </w:rPr>
        <w:fldChar w:fldCharType="end"/>
      </w:r>
      <w:r>
        <w:rPr>
          <w:rStyle w:val="4"/>
          <w:rFonts w:hint="eastAsia" w:ascii="宋体" w:hAnsi="宋体" w:eastAsia="宋体" w:cs="宋体"/>
          <w:sz w:val="24"/>
        </w:rPr>
        <w:t>）。</w:t>
      </w:r>
    </w:p>
    <w:p>
      <w:pPr>
        <w:pStyle w:val="6"/>
        <w:bidi w:val="0"/>
        <w:spacing w:line="360" w:lineRule="auto"/>
        <w:ind w:firstLine="240" w:firstLineChars="100"/>
        <w:rPr>
          <w:rStyle w:val="4"/>
          <w:rFonts w:hint="eastAsia" w:ascii="宋体" w:hAnsi="宋体" w:eastAsia="宋体" w:cs="宋体"/>
          <w:sz w:val="24"/>
        </w:rPr>
      </w:pPr>
      <w:r>
        <w:rPr>
          <w:rStyle w:val="4"/>
          <w:rFonts w:hint="eastAsia" w:ascii="宋体" w:hAnsi="宋体" w:eastAsia="宋体" w:cs="宋体"/>
          <w:sz w:val="24"/>
        </w:rPr>
        <w:t>8、★凡属于《中华人民共和国实施强制性产品认证的产品目录》的产品，请投标人在投标文件中承诺在交货时提供该产品的《中国强制认证》（CCC认证）。</w:t>
      </w:r>
    </w:p>
    <w:p>
      <w:pPr>
        <w:pStyle w:val="8"/>
        <w:bidi w:val="0"/>
        <w:spacing w:line="360" w:lineRule="auto"/>
        <w:ind w:firstLine="240" w:firstLineChars="100"/>
        <w:rPr>
          <w:rStyle w:val="4"/>
          <w:rFonts w:hint="eastAsia" w:ascii="宋体" w:hAnsi="宋体" w:eastAsia="宋体" w:cs="宋体"/>
          <w:sz w:val="24"/>
        </w:rPr>
      </w:pPr>
      <w:r>
        <w:rPr>
          <w:rStyle w:val="4"/>
          <w:rFonts w:hint="eastAsia" w:ascii="宋体" w:hAnsi="宋体" w:eastAsia="宋体" w:cs="宋体"/>
          <w:sz w:val="24"/>
        </w:rPr>
        <w:t>9、本项目核心产品：</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9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10" w:type="dxa"/>
            <w:tcBorders>
              <w:top w:val="single" w:color="auto" w:sz="12" w:space="0"/>
              <w:left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color w:val="000000"/>
                <w:sz w:val="24"/>
                <w:szCs w:val="24"/>
              </w:rPr>
            </w:pPr>
            <w:r>
              <w:rPr>
                <w:rStyle w:val="4"/>
                <w:rFonts w:hint="eastAsia" w:hAnsi="宋体" w:eastAsia="宋体" w:cs="宋体"/>
                <w:b/>
                <w:color w:val="000000"/>
                <w:sz w:val="24"/>
                <w:szCs w:val="24"/>
              </w:rPr>
              <w:t>序号</w:t>
            </w:r>
          </w:p>
        </w:tc>
        <w:tc>
          <w:tcPr>
            <w:tcW w:w="3993" w:type="dxa"/>
            <w:tcBorders>
              <w:top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color w:val="000000"/>
                <w:sz w:val="24"/>
                <w:szCs w:val="24"/>
              </w:rPr>
            </w:pPr>
            <w:r>
              <w:rPr>
                <w:rStyle w:val="4"/>
                <w:rFonts w:hint="eastAsia" w:hAnsi="宋体" w:eastAsia="宋体" w:cs="宋体"/>
                <w:b/>
                <w:color w:val="000000"/>
                <w:sz w:val="24"/>
                <w:szCs w:val="24"/>
              </w:rPr>
              <w:t>采购标的</w:t>
            </w:r>
          </w:p>
        </w:tc>
        <w:tc>
          <w:tcPr>
            <w:tcW w:w="2977" w:type="dxa"/>
            <w:tcBorders>
              <w:top w:val="single" w:color="auto" w:sz="12" w:space="0"/>
              <w:right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color w:val="000000"/>
                <w:sz w:val="24"/>
                <w:szCs w:val="24"/>
              </w:rPr>
            </w:pPr>
            <w:r>
              <w:rPr>
                <w:rStyle w:val="4"/>
                <w:rFonts w:hint="eastAsia" w:hAnsi="宋体" w:eastAsia="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10" w:type="dxa"/>
            <w:tcBorders>
              <w:left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color w:val="000000"/>
                <w:sz w:val="24"/>
                <w:szCs w:val="24"/>
              </w:rPr>
            </w:pPr>
            <w:r>
              <w:rPr>
                <w:rStyle w:val="4"/>
                <w:rFonts w:hint="eastAsia" w:hAnsi="宋体" w:eastAsia="宋体" w:cs="宋体"/>
                <w:color w:val="000000"/>
                <w:sz w:val="24"/>
                <w:szCs w:val="24"/>
              </w:rPr>
              <w:t>1</w:t>
            </w:r>
          </w:p>
        </w:tc>
        <w:tc>
          <w:tcPr>
            <w:tcW w:w="3993" w:type="dxa"/>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val="0"/>
                <w:bCs/>
                <w:color w:val="000000"/>
                <w:sz w:val="24"/>
                <w:szCs w:val="24"/>
              </w:rPr>
            </w:pPr>
            <w:r>
              <w:rPr>
                <w:rStyle w:val="4"/>
                <w:rFonts w:hint="eastAsia" w:hAnsi="宋体" w:eastAsia="宋体" w:cs="宋体"/>
                <w:b w:val="0"/>
                <w:bCs/>
                <w:color w:val="000000"/>
                <w:sz w:val="24"/>
                <w:szCs w:val="24"/>
              </w:rPr>
              <w:t>A4复印纸(80g)</w:t>
            </w:r>
          </w:p>
        </w:tc>
        <w:tc>
          <w:tcPr>
            <w:tcW w:w="2977" w:type="dxa"/>
            <w:tcBorders>
              <w:right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val="0"/>
                <w:bCs/>
                <w:color w:val="000000"/>
                <w:sz w:val="24"/>
                <w:szCs w:val="24"/>
              </w:rPr>
            </w:pPr>
            <w:r>
              <w:rPr>
                <w:rStyle w:val="4"/>
                <w:rFonts w:hint="eastAsia" w:hAnsi="宋体" w:eastAsia="宋体" w:cs="宋体"/>
                <w:b w:val="0"/>
                <w:bCs/>
                <w:color w:val="000000"/>
                <w:sz w:val="24"/>
                <w:szCs w:val="24"/>
              </w:rPr>
              <w:t>核心产品</w:t>
            </w:r>
          </w:p>
          <w:p>
            <w:pPr>
              <w:pStyle w:val="5"/>
              <w:tabs>
                <w:tab w:val="left" w:pos="420"/>
                <w:tab w:val="left" w:pos="540"/>
              </w:tabs>
              <w:adjustRightInd w:val="0"/>
              <w:snapToGrid w:val="0"/>
              <w:spacing w:line="360" w:lineRule="auto"/>
              <w:jc w:val="center"/>
              <w:rPr>
                <w:rStyle w:val="4"/>
                <w:rFonts w:hint="eastAsia"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0" w:type="dxa"/>
            <w:tcBorders>
              <w:left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color w:val="000000"/>
                <w:sz w:val="24"/>
                <w:szCs w:val="24"/>
              </w:rPr>
            </w:pPr>
            <w:r>
              <w:rPr>
                <w:rStyle w:val="4"/>
                <w:rFonts w:hint="eastAsia" w:hAnsi="宋体" w:eastAsia="宋体" w:cs="宋体"/>
                <w:color w:val="000000"/>
                <w:sz w:val="24"/>
                <w:szCs w:val="24"/>
              </w:rPr>
              <w:t>2</w:t>
            </w:r>
          </w:p>
        </w:tc>
        <w:tc>
          <w:tcPr>
            <w:tcW w:w="3993" w:type="dxa"/>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val="0"/>
                <w:bCs/>
                <w:color w:val="000000"/>
                <w:sz w:val="24"/>
                <w:szCs w:val="24"/>
              </w:rPr>
            </w:pPr>
            <w:r>
              <w:rPr>
                <w:rStyle w:val="4"/>
                <w:rFonts w:hint="eastAsia" w:hAnsi="宋体" w:eastAsia="宋体" w:cs="宋体"/>
                <w:b w:val="0"/>
                <w:bCs/>
                <w:color w:val="000000"/>
                <w:sz w:val="24"/>
                <w:szCs w:val="24"/>
              </w:rPr>
              <w:t>擦手纸</w:t>
            </w:r>
          </w:p>
        </w:tc>
        <w:tc>
          <w:tcPr>
            <w:tcW w:w="2977" w:type="dxa"/>
            <w:tcBorders>
              <w:right w:val="single" w:color="auto" w:sz="12" w:space="0"/>
            </w:tcBorders>
            <w:noWrap/>
            <w:vAlign w:val="center"/>
          </w:tcPr>
          <w:p>
            <w:pPr>
              <w:pStyle w:val="5"/>
              <w:tabs>
                <w:tab w:val="left" w:pos="420"/>
                <w:tab w:val="left" w:pos="540"/>
              </w:tabs>
              <w:adjustRightInd w:val="0"/>
              <w:snapToGrid w:val="0"/>
              <w:spacing w:line="360" w:lineRule="auto"/>
              <w:jc w:val="center"/>
              <w:rPr>
                <w:rStyle w:val="4"/>
                <w:rFonts w:hint="eastAsia" w:hAnsi="宋体" w:eastAsia="宋体" w:cs="宋体"/>
                <w:b w:val="0"/>
                <w:bCs/>
                <w:color w:val="000000"/>
                <w:sz w:val="24"/>
                <w:szCs w:val="24"/>
              </w:rPr>
            </w:pPr>
            <w:r>
              <w:rPr>
                <w:rStyle w:val="4"/>
                <w:rFonts w:hint="eastAsia" w:hAnsi="宋体" w:eastAsia="宋体" w:cs="宋体"/>
                <w:b w:val="0"/>
                <w:bCs/>
                <w:color w:val="000000"/>
                <w:sz w:val="24"/>
                <w:szCs w:val="24"/>
              </w:rPr>
              <w:t>核心产品</w:t>
            </w:r>
          </w:p>
        </w:tc>
      </w:tr>
    </w:tbl>
    <w:p>
      <w:pPr>
        <w:pStyle w:val="6"/>
        <w:bidi w:val="0"/>
        <w:spacing w:line="360" w:lineRule="auto"/>
        <w:ind w:firstLine="240" w:firstLineChars="100"/>
        <w:rPr>
          <w:rStyle w:val="4"/>
          <w:rFonts w:hint="eastAsia" w:ascii="宋体" w:hAnsi="宋体" w:eastAsia="宋体" w:cs="宋体"/>
          <w:sz w:val="24"/>
        </w:rPr>
      </w:pP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投标要求</w:t>
      </w:r>
    </w:p>
    <w:p>
      <w:pPr>
        <w:pStyle w:val="9"/>
        <w:numPr>
          <w:ilvl w:val="0"/>
          <w:numId w:val="2"/>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rPr>
        <w:t>投标人须在投标文件中按《货物需求清单》顺序，详细列明拟供货品的品牌、规格型号、供货价单位、供货单价价格等内容。每项商品均须以招标文件中规定的投标单位进行报价。</w:t>
      </w:r>
    </w:p>
    <w:p>
      <w:pPr>
        <w:pStyle w:val="9"/>
        <w:numPr>
          <w:ilvl w:val="0"/>
          <w:numId w:val="2"/>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rPr>
        <w:t>中标人不得将中标项目转让或分包给他人，否则采购人将上报监管部门，由此产生的一切经济损失由中标人自行承担。</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质量及包装要求</w:t>
      </w:r>
    </w:p>
    <w:p>
      <w:pPr>
        <w:pStyle w:val="9"/>
        <w:numPr>
          <w:ilvl w:val="0"/>
          <w:numId w:val="3"/>
        </w:numPr>
        <w:bidi w:val="0"/>
        <w:spacing w:line="360" w:lineRule="auto"/>
        <w:ind w:left="0" w:firstLineChars="0"/>
        <w:rPr>
          <w:rStyle w:val="4"/>
          <w:rFonts w:hint="eastAsia" w:ascii="宋体" w:hAnsi="宋体" w:eastAsia="宋体" w:cs="宋体"/>
          <w:color w:val="000000"/>
          <w:kern w:val="0"/>
          <w:sz w:val="24"/>
        </w:rPr>
      </w:pPr>
      <w:r>
        <w:rPr>
          <w:rStyle w:val="4"/>
          <w:rFonts w:hint="eastAsia" w:ascii="宋体" w:hAnsi="宋体" w:eastAsia="宋体" w:cs="宋体"/>
          <w:color w:val="000000"/>
          <w:sz w:val="24"/>
        </w:rPr>
        <w:t>投标人应充分理解并认真遵循本招标文件的要求，所提供的货物须满足招标文件要求。保证合同货品均为正</w:t>
      </w:r>
      <w:r>
        <w:rPr>
          <w:rStyle w:val="4"/>
          <w:rFonts w:hint="eastAsia" w:ascii="宋体" w:hAnsi="宋体" w:eastAsia="宋体" w:cs="宋体"/>
          <w:sz w:val="24"/>
        </w:rPr>
        <w:t>规的制造商生</w:t>
      </w:r>
      <w:r>
        <w:rPr>
          <w:rStyle w:val="4"/>
          <w:rFonts w:hint="eastAsia" w:ascii="宋体" w:hAnsi="宋体" w:eastAsia="宋体" w:cs="宋体"/>
          <w:color w:val="000000"/>
          <w:sz w:val="24"/>
        </w:rPr>
        <w:t>产的全新、合格以上、无侵权货品，符合国家有关质量、包装和保修标准，有使用有效期的货品其剩余有效期不得少于标注有效期的</w:t>
      </w:r>
      <w:r>
        <w:rPr>
          <w:rStyle w:val="4"/>
          <w:rFonts w:hint="eastAsia" w:ascii="宋体" w:hAnsi="宋体" w:eastAsia="宋体" w:cs="宋体"/>
          <w:color w:val="000000"/>
          <w:kern w:val="0"/>
          <w:sz w:val="24"/>
        </w:rPr>
        <w:t>50%</w:t>
      </w:r>
      <w:r>
        <w:rPr>
          <w:rStyle w:val="4"/>
          <w:rFonts w:hint="eastAsia" w:ascii="宋体" w:hAnsi="宋体" w:eastAsia="宋体" w:cs="宋体"/>
          <w:color w:val="000000"/>
          <w:sz w:val="24"/>
        </w:rPr>
        <w:t>。投标人提供假冒伪劣、过期产品的，一经发现，除按采购人要求无条件退货或换货外，还将被处以罚款。</w:t>
      </w:r>
    </w:p>
    <w:p>
      <w:pPr>
        <w:pStyle w:val="9"/>
        <w:numPr>
          <w:ilvl w:val="0"/>
          <w:numId w:val="3"/>
        </w:numPr>
        <w:bidi w:val="0"/>
        <w:spacing w:line="360" w:lineRule="auto"/>
        <w:ind w:left="0" w:firstLineChars="0"/>
        <w:rPr>
          <w:rStyle w:val="4"/>
          <w:rFonts w:hint="eastAsia" w:ascii="宋体" w:hAnsi="宋体" w:eastAsia="宋体" w:cs="宋体"/>
          <w:color w:val="000000"/>
          <w:sz w:val="24"/>
        </w:rPr>
      </w:pPr>
      <w:r>
        <w:rPr>
          <w:rStyle w:val="4"/>
          <w:rFonts w:hint="eastAsia" w:ascii="宋体" w:hAnsi="宋体" w:eastAsia="宋体" w:cs="宋体"/>
          <w:color w:val="000000"/>
          <w:sz w:val="24"/>
        </w:rPr>
        <w:t>货物有包装的，货物的包装须完整清洁（无损、无污、无皱），采购人有权拒收包装不整齐、已拆封的商品。</w:t>
      </w:r>
    </w:p>
    <w:p>
      <w:pPr>
        <w:pStyle w:val="9"/>
        <w:numPr>
          <w:ilvl w:val="0"/>
          <w:numId w:val="3"/>
        </w:numPr>
        <w:bidi w:val="0"/>
        <w:spacing w:line="360" w:lineRule="auto"/>
        <w:ind w:left="0" w:firstLineChars="0"/>
        <w:rPr>
          <w:rStyle w:val="4"/>
          <w:rFonts w:hint="eastAsia" w:ascii="宋体" w:hAnsi="宋体" w:eastAsia="宋体" w:cs="宋体"/>
          <w:color w:val="000000"/>
          <w:sz w:val="24"/>
        </w:rPr>
      </w:pPr>
      <w:r>
        <w:rPr>
          <w:rStyle w:val="4"/>
          <w:rFonts w:hint="eastAsia" w:ascii="宋体" w:hAnsi="宋体" w:eastAsia="宋体" w:cs="宋体"/>
          <w:color w:val="000000"/>
          <w:sz w:val="24"/>
        </w:rPr>
        <w:t>采购人发现商品出现损坏（包括表面损坏），或出现水渍、串味、受潮等导致货物性质改变的，中标人须无条件退货或更换商品。</w:t>
      </w:r>
    </w:p>
    <w:p>
      <w:pPr>
        <w:pStyle w:val="9"/>
        <w:numPr>
          <w:ilvl w:val="0"/>
          <w:numId w:val="3"/>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lang w:val="zh-CN"/>
        </w:rPr>
        <w:t>如果采购人确认需要进行货物质量检验，应及时以书面形式把质量检验的具体要求通知中标人。无论检验结果合格与否，货物质量检验的费用均由中标人承担。检验在中标人交货的最终目的地进行。如确定货物为假冒伪劣产品，按照《消费者权益保护法》第五十五条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pStyle w:val="9"/>
        <w:numPr>
          <w:ilvl w:val="0"/>
          <w:numId w:val="3"/>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lang w:val="zh-CN"/>
        </w:rPr>
        <w:t>采购人在接收货物时，应对货物进行验货确认，对不符合合同要求或质量要求的，采购人有权拒绝接受。中标人应及时更换被拒绝的货物，不得影响采购人的采购计划。</w:t>
      </w:r>
    </w:p>
    <w:p>
      <w:pPr>
        <w:pStyle w:val="9"/>
        <w:numPr>
          <w:ilvl w:val="0"/>
          <w:numId w:val="3"/>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lang w:val="zh-CN"/>
        </w:rPr>
        <w:t>采购人如果发现货物存在质量问题，有权要求中标人进行更换合格产品。</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价格要求</w:t>
      </w:r>
    </w:p>
    <w:p>
      <w:pPr>
        <w:pStyle w:val="9"/>
        <w:numPr>
          <w:ilvl w:val="0"/>
          <w:numId w:val="4"/>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lang w:val="zh-CN"/>
        </w:rPr>
        <w:t>中标人的投标报价为合同价，包括货物储存、运输配送等所有含税费用。中标价在合同执行期间不变，但有国家文件规定的双方可以协</w:t>
      </w:r>
      <w:r>
        <w:rPr>
          <w:rStyle w:val="4"/>
          <w:rFonts w:hint="eastAsia" w:ascii="宋体" w:hAnsi="宋体" w:eastAsia="宋体" w:cs="宋体"/>
          <w:sz w:val="24"/>
        </w:rPr>
        <w:t>商处理。</w:t>
      </w:r>
    </w:p>
    <w:p>
      <w:pPr>
        <w:pStyle w:val="9"/>
        <w:numPr>
          <w:ilvl w:val="0"/>
          <w:numId w:val="4"/>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lang w:val="zh-CN"/>
        </w:rPr>
        <w:t>《货物需求清单》所列货品名称及数量均为两年合计的预估量，仅供参考之用，实际供货以采购人每次提供的订单为准，并按中标人在投标文件中承诺的单价执行，按实结算。</w:t>
      </w:r>
    </w:p>
    <w:p>
      <w:pPr>
        <w:pStyle w:val="9"/>
        <w:numPr>
          <w:ilvl w:val="0"/>
          <w:numId w:val="4"/>
        </w:numPr>
        <w:bidi w:val="0"/>
        <w:spacing w:line="360" w:lineRule="auto"/>
        <w:ind w:left="0" w:firstLineChars="0"/>
        <w:rPr>
          <w:rStyle w:val="4"/>
          <w:rFonts w:hint="eastAsia" w:ascii="宋体" w:hAnsi="宋体" w:eastAsia="宋体" w:cs="宋体"/>
          <w:color w:val="000000"/>
          <w:sz w:val="24"/>
        </w:rPr>
      </w:pPr>
      <w:r>
        <w:rPr>
          <w:rStyle w:val="4"/>
          <w:rFonts w:hint="eastAsia" w:ascii="宋体" w:hAnsi="宋体" w:eastAsia="宋体" w:cs="宋体"/>
          <w:sz w:val="24"/>
        </w:rPr>
        <w:t>中标人应严格按招标合同向采购人单位供应货物，不得擅自供应标外货物（含商标、名称、产地、包装、规格和重量等），否则，采购人有权拒收。如中标人确因市场生产、流通等问题需将原标内货物变更为不同品牌的同类货物时，中标人应以提供性价比更高的商品作为主要原则，及时向采购人提供书面申请及产品样板，并与采购人就产品价格签定补充合同后方可向采购人执行销售配送，但补充合同的采购金额不得超过原采购金额的百分之十。</w:t>
      </w:r>
    </w:p>
    <w:p>
      <w:pPr>
        <w:pStyle w:val="9"/>
        <w:numPr>
          <w:ilvl w:val="0"/>
          <w:numId w:val="4"/>
        </w:numPr>
        <w:bidi w:val="0"/>
        <w:spacing w:line="360" w:lineRule="auto"/>
        <w:ind w:left="0" w:firstLineChars="0"/>
        <w:rPr>
          <w:rStyle w:val="4"/>
          <w:rFonts w:hint="eastAsia" w:ascii="宋体" w:hAnsi="宋体" w:eastAsia="宋体" w:cs="宋体"/>
          <w:color w:val="000000"/>
          <w:sz w:val="24"/>
        </w:rPr>
      </w:pPr>
      <w:r>
        <w:rPr>
          <w:rStyle w:val="4"/>
          <w:rFonts w:hint="eastAsia" w:ascii="宋体" w:hAnsi="宋体" w:eastAsia="宋体" w:cs="宋体"/>
          <w:color w:val="000000"/>
          <w:sz w:val="24"/>
        </w:rPr>
        <w:t>经双方同意后，有权终止某类中标商品的采购或变更某类商品的采购，但需提前30天以书面形式通知到中标人。</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sz w:val="24"/>
          <w:szCs w:val="24"/>
        </w:rPr>
        <w:t>★合</w:t>
      </w:r>
      <w:r>
        <w:rPr>
          <w:rStyle w:val="4"/>
          <w:rFonts w:hint="eastAsia" w:hAnsi="宋体" w:eastAsia="宋体" w:cs="宋体"/>
          <w:color w:val="000000"/>
          <w:sz w:val="24"/>
          <w:szCs w:val="24"/>
        </w:rPr>
        <w:t>同供应期要求（</w:t>
      </w:r>
      <w:r>
        <w:rPr>
          <w:rStyle w:val="4"/>
          <w:rFonts w:hint="eastAsia" w:hAnsi="宋体" w:eastAsia="宋体" w:cs="宋体"/>
          <w:sz w:val="24"/>
          <w:szCs w:val="24"/>
        </w:rPr>
        <w:t>投标人</w:t>
      </w:r>
      <w:r>
        <w:rPr>
          <w:rStyle w:val="4"/>
          <w:rFonts w:hint="eastAsia" w:hAnsi="宋体" w:eastAsia="宋体" w:cs="宋体"/>
          <w:color w:val="000000"/>
          <w:sz w:val="24"/>
          <w:szCs w:val="24"/>
        </w:rPr>
        <w:t>承诺）：采购人因各种原因未能确认下一供货周期的新中标人时，本项目合同自动延期，直至采购人确认新的中标人并签定供货合同为止，但增加的采购</w:t>
      </w:r>
      <w:r>
        <w:rPr>
          <w:rStyle w:val="4"/>
          <w:rFonts w:hint="eastAsia" w:hAnsi="宋体" w:eastAsia="宋体" w:cs="宋体"/>
          <w:sz w:val="24"/>
          <w:szCs w:val="24"/>
        </w:rPr>
        <w:t>金额不超过本项目</w:t>
      </w:r>
      <w:r>
        <w:rPr>
          <w:rStyle w:val="4"/>
          <w:rFonts w:hint="eastAsia" w:hAnsi="宋体" w:eastAsia="宋体" w:cs="宋体"/>
          <w:color w:val="000000"/>
          <w:sz w:val="24"/>
          <w:szCs w:val="24"/>
        </w:rPr>
        <w:t>中标金额的百分之十，</w:t>
      </w:r>
      <w:r>
        <w:rPr>
          <w:rStyle w:val="4"/>
          <w:rFonts w:hint="eastAsia" w:hAnsi="宋体" w:eastAsia="宋体" w:cs="宋体"/>
          <w:sz w:val="24"/>
          <w:szCs w:val="24"/>
          <w:lang w:val="zh-CN"/>
        </w:rPr>
        <w:t>同时签订补充合同并按照规定进行备案。</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服务及配送要求</w:t>
      </w:r>
    </w:p>
    <w:p>
      <w:pPr>
        <w:pStyle w:val="9"/>
        <w:numPr>
          <w:ilvl w:val="0"/>
          <w:numId w:val="5"/>
        </w:numPr>
        <w:bidi w:val="0"/>
        <w:spacing w:line="360" w:lineRule="auto"/>
        <w:ind w:left="630" w:leftChars="0" w:firstLineChars="0"/>
        <w:rPr>
          <w:rStyle w:val="4"/>
          <w:rFonts w:hint="eastAsia" w:ascii="宋体" w:hAnsi="宋体" w:eastAsia="宋体" w:cs="宋体"/>
          <w:color w:val="000000"/>
          <w:sz w:val="24"/>
          <w:highlight w:val="none"/>
        </w:rPr>
      </w:pPr>
      <w:r>
        <w:rPr>
          <w:rStyle w:val="4"/>
          <w:rFonts w:hint="eastAsia" w:ascii="宋体" w:hAnsi="宋体" w:eastAsia="宋体" w:cs="宋体"/>
          <w:sz w:val="24"/>
        </w:rPr>
        <w:t>★投标人必须承诺，当采购人发出</w:t>
      </w:r>
      <w:r>
        <w:rPr>
          <w:rStyle w:val="4"/>
          <w:rFonts w:hint="eastAsia" w:ascii="宋体" w:hAnsi="宋体" w:eastAsia="宋体" w:cs="宋体"/>
          <w:color w:val="000000"/>
          <w:sz w:val="24"/>
          <w:highlight w:val="none"/>
        </w:rPr>
        <w:t>常规采购指令后，必须在第二个工作日内送货上门。急需物资在2小时内送达采购人指定地点。送达时间超过1天的，需及时告知采购人采购部，经采购人同意后，送达时间一般不能超过2天，送达需时超过一周的，采购人可单方面选择其它供应商送货，中标人负责支付对该部分货物实际采购价格与中标人供货价格之间的差价，并记录在案。如果一个月内发生三次或以上的，采购人有权上报监管部门。</w:t>
      </w:r>
    </w:p>
    <w:p>
      <w:pPr>
        <w:pStyle w:val="9"/>
        <w:numPr>
          <w:ilvl w:val="0"/>
          <w:numId w:val="5"/>
        </w:numPr>
        <w:bidi w:val="0"/>
        <w:spacing w:line="360" w:lineRule="auto"/>
        <w:ind w:left="630" w:leftChars="0" w:firstLineChars="0"/>
        <w:rPr>
          <w:rStyle w:val="4"/>
          <w:rFonts w:hint="eastAsia" w:ascii="宋体" w:hAnsi="宋体" w:eastAsia="宋体" w:cs="宋体"/>
          <w:color w:val="000000"/>
          <w:sz w:val="24"/>
          <w:highlight w:val="none"/>
        </w:rPr>
      </w:pPr>
      <w:r>
        <w:rPr>
          <w:rStyle w:val="4"/>
          <w:rFonts w:hint="eastAsia" w:ascii="宋体" w:hAnsi="宋体" w:eastAsia="宋体" w:cs="宋体"/>
          <w:color w:val="000000"/>
          <w:sz w:val="24"/>
          <w:highlight w:val="none"/>
        </w:rPr>
        <w:t>★投标人必须承诺，对采购人临时的供货要求，需随订随送，至少在1小时内响应，4小时内送达；如有困难不能按要求时间送达的，应即向采购人说明，由采购人通过其他途径采购。</w:t>
      </w:r>
    </w:p>
    <w:p>
      <w:pPr>
        <w:pStyle w:val="9"/>
        <w:numPr>
          <w:ilvl w:val="0"/>
          <w:numId w:val="5"/>
        </w:numPr>
        <w:bidi w:val="0"/>
        <w:spacing w:line="360" w:lineRule="auto"/>
        <w:ind w:left="630" w:leftChars="0" w:firstLineChars="0"/>
        <w:rPr>
          <w:rStyle w:val="4"/>
          <w:rFonts w:hint="eastAsia" w:ascii="宋体" w:hAnsi="宋体" w:eastAsia="宋体" w:cs="宋体"/>
          <w:color w:val="00B050"/>
          <w:sz w:val="24"/>
          <w:u w:val="single"/>
        </w:rPr>
      </w:pPr>
      <w:r>
        <w:rPr>
          <w:rStyle w:val="4"/>
          <w:rFonts w:hint="eastAsia" w:ascii="宋体" w:hAnsi="宋体" w:eastAsia="宋体" w:cs="宋体"/>
          <w:sz w:val="24"/>
        </w:rPr>
        <w:t>★中标人负责货品的仓储，采购人实行零库存，所有货物经仓库仓管员验收入库后由中标人直接送达各需求科室。</w:t>
      </w:r>
    </w:p>
    <w:p>
      <w:pPr>
        <w:pStyle w:val="9"/>
        <w:numPr>
          <w:ilvl w:val="0"/>
          <w:numId w:val="5"/>
        </w:numPr>
        <w:bidi w:val="0"/>
        <w:spacing w:line="360" w:lineRule="auto"/>
        <w:ind w:left="630" w:leftChars="0" w:firstLineChars="0"/>
        <w:rPr>
          <w:rStyle w:val="4"/>
          <w:rFonts w:hint="eastAsia" w:ascii="宋体" w:hAnsi="宋体" w:eastAsia="宋体" w:cs="宋体"/>
          <w:sz w:val="24"/>
        </w:rPr>
      </w:pPr>
      <w:r>
        <w:rPr>
          <w:rStyle w:val="4"/>
          <w:rFonts w:hint="eastAsia" w:ascii="宋体" w:hAnsi="宋体" w:eastAsia="宋体" w:cs="宋体"/>
          <w:color w:val="000000"/>
          <w:sz w:val="24"/>
        </w:rPr>
        <w:t>中标人必须有相应的人员和车辆配置，以保障货物供应的及时性。中标人应免费、按时按订购货物品种、数量送达采购人指定的仓库，经验收入库后由中标人直接送达各</w:t>
      </w:r>
      <w:r>
        <w:rPr>
          <w:rStyle w:val="4"/>
          <w:rFonts w:hint="eastAsia" w:ascii="宋体" w:hAnsi="宋体" w:eastAsia="宋体" w:cs="宋体"/>
          <w:sz w:val="24"/>
        </w:rPr>
        <w:t>科室及指定地点，并承担货物运送产生的一切费用。同时，随货送上一式五份的送货清单，供双方验货后签字确认，采购人持3份，中标人持2份，作为送、收货及结算的凭证。</w:t>
      </w:r>
    </w:p>
    <w:p>
      <w:pPr>
        <w:pStyle w:val="9"/>
        <w:numPr>
          <w:ilvl w:val="0"/>
          <w:numId w:val="5"/>
        </w:numPr>
        <w:bidi w:val="0"/>
        <w:spacing w:line="360" w:lineRule="auto"/>
        <w:ind w:left="630" w:leftChars="0" w:firstLineChars="0"/>
        <w:rPr>
          <w:rStyle w:val="4"/>
          <w:rFonts w:hint="eastAsia" w:ascii="宋体" w:hAnsi="宋体" w:eastAsia="宋体" w:cs="宋体"/>
          <w:color w:val="000000"/>
          <w:sz w:val="24"/>
        </w:rPr>
      </w:pPr>
      <w:r>
        <w:rPr>
          <w:rStyle w:val="4"/>
          <w:rFonts w:hint="eastAsia" w:ascii="宋体" w:hAnsi="宋体" w:eastAsia="宋体" w:cs="宋体"/>
          <w:sz w:val="24"/>
        </w:rPr>
        <w:t>在采购人签收之前，货物的所有权和风险属于中标人，货物发生遗失、损坏、丢失由中标人</w:t>
      </w:r>
      <w:r>
        <w:rPr>
          <w:rStyle w:val="4"/>
          <w:rFonts w:hint="eastAsia" w:ascii="宋体" w:hAnsi="宋体" w:eastAsia="宋体" w:cs="宋体"/>
          <w:color w:val="000000"/>
          <w:sz w:val="24"/>
        </w:rPr>
        <w:t>负责。</w:t>
      </w:r>
    </w:p>
    <w:p>
      <w:pPr>
        <w:pStyle w:val="9"/>
        <w:numPr>
          <w:ilvl w:val="0"/>
          <w:numId w:val="5"/>
        </w:numPr>
        <w:bidi w:val="0"/>
        <w:spacing w:line="360" w:lineRule="auto"/>
        <w:ind w:left="630" w:leftChars="0" w:firstLineChars="0"/>
        <w:rPr>
          <w:rStyle w:val="4"/>
          <w:rFonts w:hint="eastAsia" w:ascii="宋体" w:hAnsi="宋体" w:eastAsia="宋体" w:cs="宋体"/>
          <w:color w:val="000000"/>
          <w:sz w:val="24"/>
        </w:rPr>
      </w:pPr>
      <w:r>
        <w:rPr>
          <w:rStyle w:val="4"/>
          <w:rFonts w:hint="eastAsia" w:ascii="宋体" w:hAnsi="宋体" w:eastAsia="宋体" w:cs="宋体"/>
          <w:color w:val="000000"/>
          <w:sz w:val="24"/>
        </w:rPr>
        <w:t>中标人须严格按照采购人的指令配送商品的数量，不得随意增减数量，否则，采购人有权拒收。</w:t>
      </w:r>
    </w:p>
    <w:p>
      <w:pPr>
        <w:pStyle w:val="9"/>
        <w:numPr>
          <w:ilvl w:val="0"/>
          <w:numId w:val="5"/>
        </w:numPr>
        <w:bidi w:val="0"/>
        <w:spacing w:line="360" w:lineRule="auto"/>
        <w:ind w:left="630" w:leftChars="0" w:firstLineChars="0"/>
        <w:rPr>
          <w:rStyle w:val="4"/>
          <w:rFonts w:hint="eastAsia" w:ascii="宋体" w:hAnsi="宋体" w:eastAsia="宋体" w:cs="宋体"/>
          <w:color w:val="000000"/>
          <w:sz w:val="24"/>
        </w:rPr>
      </w:pPr>
      <w:r>
        <w:rPr>
          <w:rStyle w:val="4"/>
          <w:rFonts w:hint="eastAsia" w:ascii="宋体" w:hAnsi="宋体" w:eastAsia="宋体" w:cs="宋体"/>
          <w:color w:val="000000"/>
          <w:sz w:val="24"/>
        </w:rPr>
        <w:t>除客观不可抗力外，中标人不得推迟送货。如确需延迟送货的，中标人应在得知情况的同时告知采购人。</w:t>
      </w:r>
    </w:p>
    <w:p>
      <w:pPr>
        <w:pStyle w:val="9"/>
        <w:numPr>
          <w:ilvl w:val="0"/>
          <w:numId w:val="5"/>
        </w:numPr>
        <w:bidi w:val="0"/>
        <w:spacing w:line="360" w:lineRule="auto"/>
        <w:ind w:left="630" w:leftChars="0" w:firstLineChars="0"/>
        <w:rPr>
          <w:rStyle w:val="4"/>
          <w:rFonts w:hint="eastAsia" w:ascii="宋体" w:hAnsi="宋体" w:eastAsia="宋体" w:cs="宋体"/>
          <w:sz w:val="24"/>
        </w:rPr>
      </w:pPr>
      <w:r>
        <w:rPr>
          <w:rStyle w:val="4"/>
          <w:rFonts w:hint="eastAsia" w:ascii="宋体" w:hAnsi="宋体" w:eastAsia="宋体" w:cs="宋体"/>
          <w:sz w:val="24"/>
        </w:rPr>
        <w:t>如中标人送达的商品存在以下问题的，中标人应在收到采购人单位通知后采取相应措施，并承担一切费用，不得以任何理由推迟。中标人未能履行招标文件和合同所定事项，或供应不合格的、假冒伪劣、以次充好的商品，采购人退货后将记录在案，并对中标人予以处罚，除要承担因此产生的一切损失和费用外，情节严重的，将上报监管部门。</w:t>
      </w:r>
    </w:p>
    <w:p>
      <w:pPr>
        <w:pStyle w:val="6"/>
        <w:tabs>
          <w:tab w:val="left" w:pos="840"/>
        </w:tabs>
        <w:bidi w:val="0"/>
        <w:adjustRightInd w:val="0"/>
        <w:snapToGrid w:val="0"/>
        <w:spacing w:line="360" w:lineRule="auto"/>
        <w:ind w:firstLine="480" w:firstLineChars="200"/>
        <w:rPr>
          <w:rStyle w:val="4"/>
          <w:rFonts w:hint="eastAsia" w:ascii="宋体" w:hAnsi="宋体" w:eastAsia="宋体" w:cs="宋体"/>
          <w:sz w:val="24"/>
        </w:rPr>
      </w:pPr>
      <w:r>
        <w:rPr>
          <w:rFonts w:hint="eastAsia" w:ascii="宋体" w:hAnsi="宋体" w:eastAsia="宋体" w:cs="宋体"/>
          <w:sz w:val="24"/>
        </w:rPr>
        <w:fldChar w:fldCharType="begin"/>
      </w:r>
      <w:r>
        <w:rPr>
          <w:rStyle w:val="4"/>
          <w:rFonts w:hint="eastAsia" w:ascii="宋体" w:hAnsi="宋体" w:eastAsia="宋体" w:cs="宋体"/>
          <w:sz w:val="24"/>
        </w:rPr>
        <w:instrText xml:space="preserve">= 1 \* GB3</w:instrText>
      </w:r>
      <w:r>
        <w:rPr>
          <w:rFonts w:hint="eastAsia" w:ascii="宋体" w:hAnsi="宋体" w:eastAsia="宋体" w:cs="宋体"/>
          <w:sz w:val="24"/>
        </w:rPr>
        <w:fldChar w:fldCharType="separate"/>
      </w:r>
      <w:r>
        <w:rPr>
          <w:rStyle w:val="4"/>
          <w:rFonts w:hint="eastAsia" w:ascii="宋体" w:hAnsi="宋体" w:eastAsia="宋体" w:cs="宋体"/>
          <w:sz w:val="24"/>
        </w:rPr>
        <w:t>①</w:t>
      </w:r>
      <w:r>
        <w:rPr>
          <w:rFonts w:hint="eastAsia" w:ascii="宋体" w:hAnsi="宋体" w:eastAsia="宋体" w:cs="宋体"/>
          <w:sz w:val="24"/>
        </w:rPr>
        <w:fldChar w:fldCharType="end"/>
      </w:r>
      <w:r>
        <w:rPr>
          <w:rStyle w:val="4"/>
          <w:rFonts w:hint="eastAsia" w:ascii="宋体" w:hAnsi="宋体" w:eastAsia="宋体" w:cs="宋体"/>
          <w:sz w:val="24"/>
        </w:rPr>
        <w:t>货物存在质量问题无法使用的，采购人有权退货。中标人应在收到采购人通知后，无条件于2小时内完成货物退换。</w:t>
      </w:r>
    </w:p>
    <w:p>
      <w:pPr>
        <w:pStyle w:val="6"/>
        <w:tabs>
          <w:tab w:val="left" w:pos="840"/>
        </w:tabs>
        <w:bidi w:val="0"/>
        <w:adjustRightInd w:val="0"/>
        <w:snapToGrid w:val="0"/>
        <w:spacing w:line="360" w:lineRule="auto"/>
        <w:ind w:firstLine="480" w:firstLineChars="200"/>
        <w:rPr>
          <w:rStyle w:val="4"/>
          <w:rFonts w:hint="eastAsia" w:ascii="宋体" w:hAnsi="宋体" w:eastAsia="宋体" w:cs="宋体"/>
          <w:sz w:val="24"/>
        </w:rPr>
      </w:pPr>
      <w:r>
        <w:rPr>
          <w:rFonts w:hint="eastAsia" w:ascii="宋体" w:hAnsi="宋体" w:eastAsia="宋体" w:cs="宋体"/>
          <w:sz w:val="24"/>
        </w:rPr>
        <w:fldChar w:fldCharType="begin"/>
      </w:r>
      <w:r>
        <w:rPr>
          <w:rStyle w:val="4"/>
          <w:rFonts w:hint="eastAsia" w:ascii="宋体" w:hAnsi="宋体" w:eastAsia="宋体" w:cs="宋体"/>
          <w:sz w:val="24"/>
        </w:rPr>
        <w:instrText xml:space="preserve">= 2 \* GB3</w:instrText>
      </w:r>
      <w:r>
        <w:rPr>
          <w:rFonts w:hint="eastAsia" w:ascii="宋体" w:hAnsi="宋体" w:eastAsia="宋体" w:cs="宋体"/>
          <w:sz w:val="24"/>
        </w:rPr>
        <w:fldChar w:fldCharType="separate"/>
      </w:r>
      <w:r>
        <w:rPr>
          <w:rStyle w:val="4"/>
          <w:rFonts w:hint="eastAsia" w:ascii="宋体" w:hAnsi="宋体" w:eastAsia="宋体" w:cs="宋体"/>
          <w:sz w:val="24"/>
        </w:rPr>
        <w:t>②</w:t>
      </w:r>
      <w:r>
        <w:rPr>
          <w:rFonts w:hint="eastAsia" w:ascii="宋体" w:hAnsi="宋体" w:eastAsia="宋体" w:cs="宋体"/>
          <w:sz w:val="24"/>
        </w:rPr>
        <w:fldChar w:fldCharType="end"/>
      </w:r>
      <w:r>
        <w:rPr>
          <w:rStyle w:val="4"/>
          <w:rFonts w:hint="eastAsia" w:ascii="宋体" w:hAnsi="宋体" w:eastAsia="宋体" w:cs="宋体"/>
          <w:sz w:val="24"/>
        </w:rPr>
        <w:t>中标人少送、错送货物，导致采购人单位无法正常开展工作的，中标人应在收到采购人通知后，无条件于2小时内完成货物的补给、替换。</w:t>
      </w:r>
    </w:p>
    <w:p>
      <w:pPr>
        <w:pStyle w:val="9"/>
        <w:numPr>
          <w:ilvl w:val="0"/>
          <w:numId w:val="5"/>
        </w:numPr>
        <w:bidi w:val="0"/>
        <w:spacing w:line="360" w:lineRule="auto"/>
        <w:ind w:left="630" w:leftChars="0" w:hanging="420" w:firstLineChars="0"/>
        <w:rPr>
          <w:rStyle w:val="4"/>
          <w:rFonts w:hint="eastAsia" w:ascii="宋体" w:hAnsi="宋体" w:eastAsia="宋体" w:cs="宋体"/>
          <w:sz w:val="24"/>
        </w:rPr>
      </w:pPr>
      <w:r>
        <w:rPr>
          <w:rStyle w:val="4"/>
          <w:rFonts w:hint="eastAsia" w:ascii="宋体" w:hAnsi="宋体" w:eastAsia="宋体" w:cs="宋体"/>
          <w:sz w:val="24"/>
        </w:rPr>
        <w:t>投标人中标后，采购人可随时对中标产品进行必要的核实，如发现中标人的投标文件中有不实的技术指标或承诺以及其他弄虚作假情况，将向监管部门反映。</w:t>
      </w:r>
    </w:p>
    <w:p>
      <w:pPr>
        <w:pStyle w:val="9"/>
        <w:numPr>
          <w:ilvl w:val="0"/>
          <w:numId w:val="5"/>
        </w:numPr>
        <w:bidi w:val="0"/>
        <w:spacing w:line="360" w:lineRule="auto"/>
        <w:ind w:left="630" w:leftChars="0" w:hanging="420" w:firstLineChars="0"/>
        <w:rPr>
          <w:rStyle w:val="4"/>
          <w:rFonts w:hint="eastAsia" w:ascii="宋体" w:hAnsi="宋体" w:eastAsia="宋体" w:cs="宋体"/>
          <w:sz w:val="24"/>
        </w:rPr>
      </w:pPr>
      <w:r>
        <w:rPr>
          <w:rStyle w:val="4"/>
          <w:rFonts w:hint="eastAsia" w:ascii="宋体" w:hAnsi="宋体" w:eastAsia="宋体" w:cs="宋体"/>
          <w:sz w:val="24"/>
        </w:rPr>
        <w:t>★投标人必须承诺，中标人的送货单必须详细注明商品的品牌、型号、规格、单价、数量，送货单不得涂改。标记不清的，采购人将拒绝签收。中标人还应在结算期末提供正式发票和汇总送货清单（清单加盖公章）供采购人结算。</w:t>
      </w:r>
    </w:p>
    <w:p>
      <w:pPr>
        <w:pStyle w:val="9"/>
        <w:numPr>
          <w:ilvl w:val="0"/>
          <w:numId w:val="5"/>
        </w:numPr>
        <w:bidi w:val="0"/>
        <w:spacing w:line="360" w:lineRule="auto"/>
        <w:ind w:left="630" w:leftChars="0" w:firstLineChars="0"/>
        <w:rPr>
          <w:rStyle w:val="4"/>
          <w:rFonts w:hint="eastAsia" w:ascii="宋体" w:hAnsi="宋体" w:eastAsia="宋体" w:cs="宋体"/>
          <w:sz w:val="24"/>
        </w:rPr>
      </w:pPr>
      <w:r>
        <w:rPr>
          <w:rStyle w:val="4"/>
          <w:rFonts w:hint="eastAsia" w:ascii="宋体" w:hAnsi="宋体" w:eastAsia="宋体" w:cs="宋体"/>
          <w:sz w:val="24"/>
        </w:rPr>
        <w:t>中标人指定的送货专员须穿着便于辨认的工衣和配戴胸卡配送货物，送货专员在采购人单位内活动时须严格遵守医院各项规章制度，不得有损害采购人单位形象和利益的行为。</w:t>
      </w:r>
    </w:p>
    <w:p>
      <w:pPr>
        <w:pStyle w:val="9"/>
        <w:numPr>
          <w:ilvl w:val="0"/>
          <w:numId w:val="5"/>
        </w:numPr>
        <w:bidi w:val="0"/>
        <w:spacing w:line="360" w:lineRule="auto"/>
        <w:ind w:left="630" w:leftChars="0" w:hanging="420" w:firstLineChars="0"/>
        <w:rPr>
          <w:rStyle w:val="4"/>
          <w:rFonts w:hint="eastAsia" w:ascii="宋体" w:hAnsi="宋体" w:eastAsia="宋体" w:cs="宋体"/>
          <w:sz w:val="24"/>
        </w:rPr>
      </w:pPr>
      <w:r>
        <w:rPr>
          <w:rStyle w:val="4"/>
          <w:rFonts w:hint="eastAsia" w:ascii="宋体" w:hAnsi="宋体" w:eastAsia="宋体" w:cs="宋体"/>
          <w:sz w:val="24"/>
        </w:rPr>
        <w:t>中标人不得泄露采购人的商业秘密。泄密造成采购人损失的，中标人将承担由此产生的一切损失和法律责任。</w:t>
      </w:r>
    </w:p>
    <w:p>
      <w:pPr>
        <w:pStyle w:val="9"/>
        <w:numPr>
          <w:ilvl w:val="0"/>
          <w:numId w:val="5"/>
        </w:numPr>
        <w:bidi w:val="0"/>
        <w:spacing w:line="360" w:lineRule="auto"/>
        <w:ind w:left="630" w:leftChars="0" w:hanging="420" w:firstLineChars="0"/>
        <w:rPr>
          <w:rStyle w:val="4"/>
          <w:rFonts w:hint="eastAsia" w:ascii="宋体" w:hAnsi="宋体" w:eastAsia="宋体" w:cs="宋体"/>
          <w:color w:val="000000"/>
          <w:sz w:val="24"/>
          <w:highlight w:val="none"/>
        </w:rPr>
      </w:pPr>
      <w:r>
        <w:rPr>
          <w:rStyle w:val="4"/>
          <w:rFonts w:hint="eastAsia" w:ascii="宋体" w:hAnsi="宋体" w:eastAsia="宋体" w:cs="宋体"/>
          <w:color w:val="000000"/>
          <w:sz w:val="24"/>
          <w:highlight w:val="none"/>
        </w:rPr>
        <w:t>由于采购人供货地点有四个院区，各院区内不设仓库，采购人发出送货指令后，要求供货商第二个工作日内必须送货，以满足临床科室的需求，供货商每个院区配备送货人员不少于两人，具备足够人力和运输车辆满足供货需求。</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违约责任</w:t>
      </w:r>
    </w:p>
    <w:p>
      <w:pPr>
        <w:pStyle w:val="9"/>
        <w:numPr>
          <w:ilvl w:val="0"/>
          <w:numId w:val="6"/>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rPr>
        <w:t>中标人不能按中标价格交付中标产品、不能提供与其承诺相符的服务或中标人存在违反招标文件和合同的行为，并且不予纠正的，将上报监管部门。包括但不限于下列各项：</w:t>
      </w:r>
    </w:p>
    <w:p>
      <w:pPr>
        <w:pStyle w:val="6"/>
        <w:tabs>
          <w:tab w:val="left" w:pos="142"/>
          <w:tab w:val="left" w:pos="840"/>
        </w:tabs>
        <w:bidi w:val="0"/>
        <w:adjustRightInd w:val="0"/>
        <w:snapToGrid w:val="0"/>
        <w:spacing w:line="360" w:lineRule="auto"/>
        <w:rPr>
          <w:rStyle w:val="4"/>
          <w:rFonts w:hint="eastAsia" w:ascii="宋体" w:hAnsi="宋体" w:eastAsia="宋体" w:cs="宋体"/>
          <w:sz w:val="24"/>
        </w:rPr>
      </w:pPr>
      <w:r>
        <w:rPr>
          <w:rStyle w:val="4"/>
          <w:rFonts w:hint="eastAsia" w:ascii="宋体" w:hAnsi="宋体" w:eastAsia="宋体" w:cs="宋体"/>
          <w:sz w:val="24"/>
        </w:rPr>
        <w:t>（1）中标人在收到采购人订货要求后，在承诺的供货时间内不能供货的；</w:t>
      </w:r>
    </w:p>
    <w:p>
      <w:pPr>
        <w:pStyle w:val="6"/>
        <w:bidi w:val="0"/>
        <w:spacing w:line="360" w:lineRule="auto"/>
        <w:rPr>
          <w:rStyle w:val="4"/>
          <w:rFonts w:hint="eastAsia" w:ascii="宋体" w:hAnsi="宋体" w:eastAsia="宋体" w:cs="宋体"/>
          <w:sz w:val="24"/>
        </w:rPr>
      </w:pPr>
      <w:r>
        <w:rPr>
          <w:rStyle w:val="4"/>
          <w:rFonts w:hint="eastAsia" w:ascii="宋体" w:hAnsi="宋体" w:eastAsia="宋体" w:cs="宋体"/>
          <w:sz w:val="24"/>
        </w:rPr>
        <w:t>（2）中标的某一规格型号货物被另一规格型号的新产品替代（替代产品不</w:t>
      </w:r>
    </w:p>
    <w:p>
      <w:pPr>
        <w:pStyle w:val="6"/>
        <w:tabs>
          <w:tab w:val="left" w:pos="142"/>
          <w:tab w:val="left" w:pos="840"/>
        </w:tabs>
        <w:bidi w:val="0"/>
        <w:adjustRightInd w:val="0"/>
        <w:snapToGrid w:val="0"/>
        <w:spacing w:line="360" w:lineRule="auto"/>
        <w:ind w:firstLine="360" w:firstLineChars="150"/>
        <w:rPr>
          <w:rStyle w:val="4"/>
          <w:rFonts w:hint="eastAsia" w:ascii="宋体" w:hAnsi="宋体" w:eastAsia="宋体" w:cs="宋体"/>
          <w:sz w:val="24"/>
        </w:rPr>
      </w:pPr>
      <w:r>
        <w:rPr>
          <w:rStyle w:val="4"/>
          <w:rFonts w:hint="eastAsia" w:ascii="宋体" w:hAnsi="宋体" w:eastAsia="宋体" w:cs="宋体"/>
          <w:sz w:val="24"/>
        </w:rPr>
        <w:t>低于原型号配置且已经采购人确认）时，中标人擅自提高供货价格的；</w:t>
      </w:r>
    </w:p>
    <w:p>
      <w:pPr>
        <w:pStyle w:val="6"/>
        <w:tabs>
          <w:tab w:val="left" w:pos="142"/>
          <w:tab w:val="left" w:pos="840"/>
        </w:tabs>
        <w:bidi w:val="0"/>
        <w:adjustRightInd w:val="0"/>
        <w:snapToGrid w:val="0"/>
        <w:spacing w:line="360" w:lineRule="auto"/>
        <w:rPr>
          <w:rStyle w:val="4"/>
          <w:rFonts w:hint="eastAsia" w:ascii="宋体" w:hAnsi="宋体" w:eastAsia="宋体" w:cs="宋体"/>
          <w:sz w:val="24"/>
        </w:rPr>
      </w:pPr>
      <w:r>
        <w:rPr>
          <w:rStyle w:val="4"/>
          <w:rFonts w:hint="eastAsia" w:ascii="宋体" w:hAnsi="宋体" w:eastAsia="宋体" w:cs="宋体"/>
          <w:sz w:val="24"/>
        </w:rPr>
        <w:t>（3）中标人未能提供承诺的服务的。</w:t>
      </w:r>
    </w:p>
    <w:p>
      <w:pPr>
        <w:pStyle w:val="9"/>
        <w:numPr>
          <w:ilvl w:val="0"/>
          <w:numId w:val="6"/>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rPr>
        <w:t>采购人无正当理由拒收货物、拒付货款时，由采购人向中标人偿付合同总的5%违约金。</w:t>
      </w:r>
    </w:p>
    <w:p>
      <w:pPr>
        <w:pStyle w:val="9"/>
        <w:numPr>
          <w:ilvl w:val="0"/>
          <w:numId w:val="6"/>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rPr>
        <w:t>中标人在超过三次不能按时完成物资配送工作的情况下，采购人将有权上报监管部门。</w:t>
      </w:r>
    </w:p>
    <w:p>
      <w:pPr>
        <w:pStyle w:val="9"/>
        <w:numPr>
          <w:ilvl w:val="0"/>
          <w:numId w:val="6"/>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rPr>
        <w:t>中标人如经有关部门证明确因不可抗力无法按时交货，采购人仍然需要中标人交</w:t>
      </w:r>
      <w:r>
        <w:rPr>
          <w:rStyle w:val="4"/>
          <w:rFonts w:hint="eastAsia" w:ascii="宋体" w:hAnsi="宋体" w:eastAsia="宋体" w:cs="宋体"/>
          <w:sz w:val="24"/>
          <w:lang w:val="zh-CN"/>
        </w:rPr>
        <w:t>货的，中标人可以延迟交货，不按违约处理。</w:t>
      </w:r>
    </w:p>
    <w:p>
      <w:pPr>
        <w:pStyle w:val="9"/>
        <w:numPr>
          <w:ilvl w:val="0"/>
          <w:numId w:val="6"/>
        </w:numPr>
        <w:bidi w:val="0"/>
        <w:spacing w:line="360" w:lineRule="auto"/>
        <w:ind w:left="0" w:firstLineChars="0"/>
        <w:rPr>
          <w:rStyle w:val="4"/>
          <w:rFonts w:hint="eastAsia" w:ascii="宋体" w:hAnsi="宋体" w:eastAsia="宋体" w:cs="宋体"/>
          <w:sz w:val="24"/>
          <w:highlight w:val="none"/>
          <w:lang w:val="zh-CN"/>
        </w:rPr>
      </w:pPr>
      <w:r>
        <w:rPr>
          <w:rStyle w:val="4"/>
          <w:rFonts w:hint="eastAsia" w:ascii="宋体" w:hAnsi="宋体" w:eastAsia="宋体" w:cs="宋体"/>
          <w:sz w:val="24"/>
          <w:lang w:val="zh-CN"/>
        </w:rPr>
        <w:t>中标人</w:t>
      </w:r>
      <w:r>
        <w:rPr>
          <w:rStyle w:val="4"/>
          <w:rFonts w:hint="eastAsia" w:ascii="宋体" w:hAnsi="宋体" w:eastAsia="宋体" w:cs="宋体"/>
          <w:sz w:val="24"/>
          <w:highlight w:val="none"/>
          <w:lang w:val="zh-CN"/>
        </w:rPr>
        <w:t>如提供非法税票结算的，采购人有权拒付款。由此产生的一切法律责任由中标人承担。</w:t>
      </w:r>
    </w:p>
    <w:p>
      <w:pPr>
        <w:pStyle w:val="9"/>
        <w:numPr>
          <w:ilvl w:val="0"/>
          <w:numId w:val="6"/>
        </w:numPr>
        <w:bidi w:val="0"/>
        <w:spacing w:line="360" w:lineRule="auto"/>
        <w:ind w:left="0" w:firstLineChars="0"/>
        <w:rPr>
          <w:rStyle w:val="4"/>
          <w:rFonts w:hint="eastAsia" w:ascii="宋体" w:hAnsi="宋体" w:eastAsia="宋体" w:cs="宋体"/>
          <w:color w:val="FF0000"/>
          <w:sz w:val="24"/>
          <w:highlight w:val="none"/>
          <w:lang w:val="zh-CN"/>
        </w:rPr>
      </w:pPr>
      <w:r>
        <w:rPr>
          <w:rStyle w:val="4"/>
          <w:rFonts w:hint="eastAsia" w:ascii="宋体" w:hAnsi="宋体" w:eastAsia="宋体" w:cs="宋体"/>
          <w:color w:val="000000"/>
          <w:sz w:val="24"/>
          <w:highlight w:val="none"/>
          <w:lang w:val="zh-CN"/>
        </w:rPr>
        <w:t>中标人提供的货物无法满足采购人工作需求的，须在2个工作日内无条件完成退换。</w:t>
      </w:r>
    </w:p>
    <w:p>
      <w:pPr>
        <w:pStyle w:val="9"/>
        <w:numPr>
          <w:ilvl w:val="0"/>
          <w:numId w:val="6"/>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lang w:val="zh-CN"/>
        </w:rPr>
        <w:t>中标人应承担货品的检测费用及违约费并负一切法律责任。</w:t>
      </w:r>
    </w:p>
    <w:p>
      <w:pPr>
        <w:pStyle w:val="9"/>
        <w:numPr>
          <w:ilvl w:val="0"/>
          <w:numId w:val="6"/>
        </w:numPr>
        <w:bidi w:val="0"/>
        <w:spacing w:line="360" w:lineRule="auto"/>
        <w:ind w:left="0" w:firstLineChars="0"/>
        <w:rPr>
          <w:rStyle w:val="4"/>
          <w:rFonts w:hint="eastAsia" w:ascii="宋体" w:hAnsi="宋体" w:eastAsia="宋体" w:cs="宋体"/>
          <w:sz w:val="24"/>
          <w:lang w:val="zh-CN"/>
        </w:rPr>
      </w:pPr>
      <w:r>
        <w:rPr>
          <w:rStyle w:val="4"/>
          <w:rFonts w:hint="eastAsia" w:ascii="宋体" w:hAnsi="宋体" w:eastAsia="宋体" w:cs="宋体"/>
          <w:sz w:val="24"/>
          <w:lang w:val="zh-CN"/>
        </w:rPr>
        <w:t>中标人因产品缺货未能及时配送并通知到采购人，影响采购人单位正常开展工作，每次扣罚人民币1000元。缺货通知可通过电话、邮件、QQ等方式向采购人确认。</w:t>
      </w:r>
    </w:p>
    <w:p>
      <w:pPr>
        <w:pStyle w:val="9"/>
        <w:numPr>
          <w:ilvl w:val="0"/>
          <w:numId w:val="6"/>
        </w:numPr>
        <w:bidi w:val="0"/>
        <w:spacing w:line="360" w:lineRule="auto"/>
        <w:ind w:left="0" w:firstLineChars="0"/>
        <w:rPr>
          <w:rStyle w:val="4"/>
          <w:rFonts w:hint="eastAsia" w:ascii="宋体" w:hAnsi="宋体" w:eastAsia="宋体" w:cs="宋体"/>
          <w:sz w:val="24"/>
        </w:rPr>
      </w:pPr>
      <w:r>
        <w:rPr>
          <w:rStyle w:val="4"/>
          <w:rFonts w:hint="eastAsia" w:ascii="宋体" w:hAnsi="宋体" w:eastAsia="宋体" w:cs="宋体"/>
          <w:sz w:val="24"/>
        </w:rPr>
        <w:t xml:space="preserve">在双方共同认可下，签订书面扣罚通知书，双方签名后送医院财务科，启动扣款手续。 </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采购需求清单</w:t>
      </w:r>
    </w:p>
    <w:p>
      <w:pPr>
        <w:pStyle w:val="5"/>
        <w:tabs>
          <w:tab w:val="left" w:pos="540"/>
        </w:tabs>
        <w:bidi w:val="0"/>
        <w:adjustRightInd w:val="0"/>
        <w:snapToGrid w:val="0"/>
        <w:spacing w:line="360" w:lineRule="auto"/>
        <w:jc w:val="center"/>
        <w:rPr>
          <w:rStyle w:val="4"/>
          <w:rFonts w:hint="eastAsia" w:hAnsi="宋体" w:eastAsia="宋体" w:cs="宋体"/>
          <w:b/>
          <w:sz w:val="24"/>
          <w:szCs w:val="24"/>
        </w:rPr>
      </w:pPr>
      <w:r>
        <w:rPr>
          <w:rStyle w:val="4"/>
          <w:rFonts w:hint="eastAsia" w:hAnsi="宋体" w:eastAsia="宋体" w:cs="宋体"/>
          <w:b/>
          <w:color w:val="000000"/>
          <w:sz w:val="24"/>
          <w:szCs w:val="24"/>
        </w:rPr>
        <w:t>货物需求清单（两年预算量）</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2398"/>
        <w:gridCol w:w="2161"/>
        <w:gridCol w:w="2826"/>
        <w:gridCol w:w="1116"/>
        <w:gridCol w:w="487"/>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产品名称</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规格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性能/技术参数说明</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用途</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2层打印纸（含1/2）</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二层彩（约）9.5×5.5寸（含1/2）/1000页/箱</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80列二层彩/木浆、材料发色剂、显色剂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3层打印纸（含1/2）</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三层彩（约）9.5×5.5寸（含1/2）/1000页/箱</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80列三层彩，木浆、材料发色剂、显色剂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A3复印纸(80g)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A3/80g/500页/包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A3/80g/纯木浆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A4复印纸(70g)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A4/70g/500页/包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A4/70g/纯木浆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A4复印纸(80g)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A4/80g/纯木浆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A5复印纸（70g）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A5/70G特级/500页/包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A5/70G特级木浆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2"/>
                <w:szCs w:val="22"/>
                <w:highlight w:val="none"/>
                <w:u w:val="none"/>
                <w:lang w:val="en-US" w:eastAsia="zh-CN" w:bidi="ar"/>
              </w:rPr>
              <w:t>扶贫进修生</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A5复印纸（80g）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A5/80G/木浆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A5绿色复印纸（80g）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绿色 A5/80G/500页/包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A5/80G 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B5复印纸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B5/80G/500页/包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B5/80G木浆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彩色A4复印纸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 A4/80G/500页/包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A4/80G木浆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各色签字笔（0.5mm）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各色，（约）0.5mm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0.5毫米不锈钢笔头，中性墨液耐水不褪色，塑料制杆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各色中性笔(0.5mm）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各色，（约）0.5mm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笔尖0.5mm/颜料、酒精、纤维、PP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各色中性笔（0.5mm）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各色，（约）0.5mm </w:t>
            </w:r>
            <w:r>
              <w:rPr>
                <w:rStyle w:val="10"/>
                <w:highlight w:val="none"/>
                <w:lang w:val="en-US" w:eastAsia="zh-CN" w:bidi="ar"/>
              </w:rPr>
              <w:t xml:space="preserve"> </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笔尖0.5mm/颜料、油墨、PP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各色中性笔(0.38mm）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各色，（约）0.38mm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笔尖0.38mm/颜料、酒精、纤维、PP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各色中性笔芯(0.38mm）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各色，（约）0.38mm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笔尖0.38mm/颜料、酒精、纤维、PP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各色按制式中性笔（0.5mm）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 0.5mm按制</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颜料、油墨、PP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各色按制式中性笔芯（0.5mm）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 0.5mm按制</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笔尖0.5mm/颜料、油墨、PP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各色圆珠笔（0.38mm）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各色，（约）0.38mm按制</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笔尖0.38mm/颜料、油墨、PP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各色圆珠笔（0.7mm）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各色，（约）0.7mm按制</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笔尖0.7mm/颜料、油墨、PP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铅笔</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HB皮头（带橡皮擦）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木、石墨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白板笔（大）</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圆嘴大单头，各色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圆嘴颜料、酒精、纤维、PP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白板笔（小）</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圆嘴小单头，各色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圆嘴颜料、酒精、纤维、PP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大双头记号笔</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大号双头，各色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颜料、酒精、纤维、PP，速干防水油墨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小双头记号笔</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小号双头，各色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颜料、酒精、纤维、PP，速干防水油墨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小单头油性笔</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小单头，各色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颜料、酒精、纤维、PP，速干防水油墨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荧光笔</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各色，方嘴，单头</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颜料、酒精、纤维、PP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涂改带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（约）(3mm-5mm)×8m修正带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涂改液</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（约）24ml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三氯乙烷、甲基环己烷、环己烷</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橡皮擦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4B</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4B</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书写工具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资料册（A4/30页带背罩）</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各色，A4/30页带背罩</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资料册（A4/40页带背罩）</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各色，A4/40页带背罩</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资料册（A4/80页带背罩）</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各色，A4/80页带背罩带盒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资料册（A4/100页带背罩）</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各色，A4/100页带背罩带盒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资料册（A4/20页）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各色透明，A4/20页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PP聚丙烯，磨沙透明防静电</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资料册（A4/40页）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各色透明，A4/40页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PP聚丙烯，磨沙透明防静电</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资料册（A4/60页）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各色透明，A4/60页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PP聚丙烯，磨沙透明防静电</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档案盒（PVC面板）</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各色，A4/75mm（约）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PVC面板，磁扣盒盖</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档案盒（PVC面板带夹）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各色，A4/60mm（约）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PVC面板，带侧夹，磁扣盒盖</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资料盒（PP）</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各色，A4/55mm（约）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A4/55mm，PP材料，粘扣盖</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资料架（1格）</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各色，固定式，245×85×297mm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资料架（3格）</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各色，组装式，3栏，262×258×314mm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资料架（4格）</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各色，组装式，3栏，262×340×314mm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纽扣文件袋（各色）</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PP,A4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网格拉链文件袋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A6网格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拉链，PVC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网格拉链文件袋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A5网格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拉链，PVC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网格拉链文件袋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A4网格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拉链，PVC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网格拉链文件袋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A3网格</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拉链，PVC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11孔文件袋（双孔以上文件夹专用）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A4/11孔</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11孔/PP料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袋</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缠绳档案袋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A4竖式，（约）250×332mm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透明各色，PP材料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牛皮纸文件袋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（约）350g3K，A4横向</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牛皮纸，黄底黑字，袋口缠绳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五层可视带锁文件柜</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（约）361×271×260mm，各色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361×271×260毫米，五层可视带锁； 塑胶外壳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四层可视带锁文件柜</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（约）361×271×260mm，各色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361×271×260毫米，四层可视带锁； 塑胶外壳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2页文件套</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A4透明</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A4抽杆夹（30页）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（约）220×310mm，A4/18C</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各色抽杆，PP板面，可装30页纸</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A4抽杆夹（60页）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（约）220×310mm，A4/18C</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各色抽杆，PP板面，可装60页纸</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带背罩单强力夹（各色）</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单夹，A容纸量：15毫米，PP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带背罩双强力夹（各色）</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双夹，A容纸量：15毫米，PP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二孔D型夹+板夹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各色，A4, （约）1.5寸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PVC层面，带指环,两夹，315×245×43mm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二孔D型三面插袋文件夹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A4/38mm（约）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260x315x39mm，纸容量25mm,三封面插袋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二孔文件夹插袋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A4/50mm（约），二孔D型三面插袋文件夹</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二层文件盘</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三层文件盘</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A4公文篮</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PVC,330x240x85mm，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写字板A4</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A4板夹</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A4/PVC较硬</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写字板A5</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A5板夹</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A5/PVC较硬</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横式证件卡套</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（约）8×11.5cm横式透明</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横式防水透明PVC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横式证件卡套</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（约）6.5×11cm横式/透明</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横式防水透明PVC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证件卡扣</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塑料，钮扣式</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塑料，钮扣式</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A4/10C过塑膜</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A4/10C，×100张/包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封塑膜，A4/10C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A4/6C过塑膜</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A4/6C，×100张/包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封塑膜，A4/6C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文件管理</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100页硬皮抄</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A4/100页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A4/100页/硬面/木浆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200页硬皮抄</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A5/200页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A5/200页硬面/木浆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30页软皮抄</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A5/30页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无线装订，100%木浆，7毫米行距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50页软皮抄</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A6/50页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无线装订，100%木浆，7毫米行距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80页软皮抄</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无线装订，100%木浆，7毫米行距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80页硬皮抄</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A5/80页硬面/木浆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工作手册</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A6/60</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软皮笔记本</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A5/100页</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仿皮封面带扣笔，内芯纸80G</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报事贴</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76×76mm（约）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各色，木桨、胶粘剂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报事贴</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38×51mm（约）</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各色，木浆、胶粘剂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5×5标签纸×25张/包</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25格/张，（约）30×46mm一格，各色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各色，25格/张，25张/包，30×46mm一格</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7×8标签纸×25张/包</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56格/张，（约）23×35mm一格，各色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各色，56格/张，25张/包，23×35mm一格</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A4光面不干胶标签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（约）210×297mm，85张/包，A4光面，各色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A4光面各色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A4透明不干胶标签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（约）210×297mm，50张/包，A4透明</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A4透明</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A4哑面不干胶标签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（约）210×297mm，85张/包，A4哑面，各色</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A4哑面各色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五色萤光纸质指示标签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3M/100张/色，（约）13×51mm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13×51mm，100张×荧光5色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荧光圆点标签纸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24片/张×12张/包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直径16mm，各色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本册表单</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书立（铁）</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蓝色7寸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7寸/金属烤漆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对</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方形网状笔筒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（约）70×70×108MM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黑色，金属，方形，耐摔易洗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圆形组合笔筒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茶色，圆形</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四层三格圆形组合，茶色透明</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卷尺（软皮尺）</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（约）1.3m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1.3m软皮尺(含英寸标识)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直尺（有机）</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30cm/PP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直尺（有机）</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30cm/PP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磁粒（中号）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（约）30mm，12粒/排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PP、磁铁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大订书钉（12号）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12号统一；24/6，1000枚/盒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统一/不锈钢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小订书钉（10号）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10号统一；1000枚/盒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统一/不锈钢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大订书机（12号）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12号统一，</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适用24/6到24/8钉，订25页</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小订书机（10号带起钉器）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10号统一；</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适用10号钉，订12页、尾部起钉器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重型订书钉</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23/13，1000枚/盒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优质不锈钢，厚度80页</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重型订书机</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15-210页复印纸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适用书钉：23/6,23/8,23/10,23/13,23/17，23/20、23/23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12位桌面型计算器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（约）33×113×145mm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显示12位数字，电池及太阳能双重电源</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彩色反尾夹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（约）15mm，彩色，60个/盒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彩色喷漆，不易生锈，弹性好，不易变形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黑色反尾夹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（约）25mm，黑色，48个/盒 </w:t>
            </w:r>
            <w:r>
              <w:rPr>
                <w:rStyle w:val="10"/>
                <w:highlight w:val="none"/>
                <w:lang w:val="en-US" w:eastAsia="zh-CN" w:bidi="ar"/>
              </w:rPr>
              <w:t xml:space="preserve"> </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彩色喷漆，不易生锈，弹性好，不易变形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彩色反尾夹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（约）32mm，彩色，24个/盒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彩色喷漆，不易生锈，弹性好，不易变形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黑色反尾夹（大）</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（约）50mm，黑色，12个/盒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金属烤漆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黑色反尾夹（大）</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（约）51mm，黑色，12个/盒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金属烤漆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黑色反尾夹（小）</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（约）15mm，黑色，12/盒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金属烤漆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黑色反尾夹（中）</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（约）32mm，黑色，12个/盒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金属烤漆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中号钢夹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山型，（约）76mm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76mm/优质钢材</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大号钢夹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山型，（约）102mm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102mm/优质钢材</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特大号钢夹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山型，（约）127mm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127mm/优质钢材</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超大号钢夹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山型，（约）152mm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152mm/优质钢材</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剪刀（尖头）</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（约）185×85cm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185×85cm，不锈钢剪体、尖头、ABS工程塑料剪柄</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剪刀（圆头）</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（约）17cm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170毫米(7寸）/不锈钢剪体、圆头、ABS工程塑料剪柄</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美工刀（大）</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各色，（约）18mm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防滑，不锈钢刀片，自动回锁，金属护套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美工刀（小）</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各色，（约）10mm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防滑，不锈钢刀片，自动回锁，金属护套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把</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固体胶</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（约）15g</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15g/水溶，无毒素不起皱</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万能胶（502）</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（约）20g</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20g/聚乙烯醇</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香糊</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（约）260g(绿瓶装)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260G 小麦淀粉、水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液体胶水</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（约）50ml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50ml</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高级橡皮筋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（约）100g，1.5寸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100g/橡胶、乳胶</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优质橡皮筋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（约）75g，5cm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75g，5cm/橡胶、乳胶</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起钉器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可起50页</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超强型海棉双面胶</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3M, （约）18mm×3m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18mm×3m,丙烯酸胶黏剂+丙烯酸泡棉</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高效型海棉双面胶</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3M, （约）24mm×5.5m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24mm×5.5m,丙烯酸胶黏剂+丙烯酸泡棉</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双面胶（1.2cm）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（约）12mm×10码</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12mm×10码/木浆、压敏胶粘剂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双面胶（1.8cm）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（约）18mm×10码</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18mm×10码/木浆、压敏胶粘剂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双面胶（2.4cm）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（约）24mm×10码</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24mm×10码/木浆、压敏胶粘剂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透明胶（1.8cm）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（约）18mm×20码</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18mm×20码/、压敏胶粘剂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封箱胶（4.8cm）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（约）48mm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48mm/、压敏胶粘剂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封箱胶（6cm）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（约）60mm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60mm×35码/、压敏胶粘剂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长方形快干印台</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各色，（约）12×7cm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方形透明塑料外壳,耐光耐高温等性能</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圆形快干印台</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各色，（约）φ85mm×厚度26.5mm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快干防水/防脱落旋盖</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光敏印油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 （约）10ml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光敏印章专用；快干油墨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快干印油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 （约）40ml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快干型/油墨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原子印油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各色；（约）10ml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油墨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原子印油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各色；（约）28ml；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各色，水性印油，适用于印章及印台</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大头针</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（约）24mm 50个/盒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24mm/钢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回形针（大）</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8号；（约）50mm 40个/盒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50mm/铁、镍</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回形针（小）</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3号；100个/盒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30mm 铁、镍</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彩色回形针</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3号；100个/盒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30mm 铁、镍</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A4高级绒面奖状</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A4高级绒面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A4奖状内页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A5高级绒面奖状</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A5高级绒面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A5奖状内页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A5高级绒面荣誉证书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A5高级绒面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A5荣誉证书内页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A4高级绒面聘书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A4高级绒面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证书</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白板擦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（约）145×60mm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145×60mm/纤维、PP</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行政展示</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磁性白板</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（约）100×80cm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磁性白板，铝合金边框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行政展示</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优质大卷纸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（约）280米/卷，12卷/箱</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优质卷纸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（约）138mm×108mm×3层/卷</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138mm×108mm×3层/卷</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89963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盒装纸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r>
              <w:rPr>
                <w:rStyle w:val="10"/>
                <w:highlight w:val="none"/>
                <w:lang w:val="en-US" w:eastAsia="zh-CN" w:bidi="ar"/>
              </w:rPr>
              <w:t>5盒/条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190mm</w:t>
            </w:r>
            <w:r>
              <w:rPr>
                <w:rStyle w:val="10"/>
                <w:highlight w:val="none"/>
                <w:lang w:val="en-US" w:eastAsia="zh-CN" w:bidi="ar"/>
              </w:rPr>
              <w:t>×195mm×3层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面巾纸（简装）</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软包装面巾纸</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180mm</w:t>
            </w:r>
            <w:r>
              <w:rPr>
                <w:rStyle w:val="10"/>
                <w:highlight w:val="none"/>
                <w:lang w:val="en-US" w:eastAsia="zh-CN" w:bidi="ar"/>
              </w:rPr>
              <w:t>×136mm×3层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77075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纸巾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（约）210mm×210mm,9张/包，10包/条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210mm×210mm 四层</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湿纸巾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（约）180mm×180mm×10片 </w:t>
            </w:r>
            <w:r>
              <w:rPr>
                <w:rStyle w:val="10"/>
                <w:highlight w:val="none"/>
                <w:lang w:val="en-US" w:eastAsia="zh-CN" w:bidi="ar"/>
              </w:rPr>
              <w:t xml:space="preserve"> 10片/包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温和沐浴露</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（约）1000ml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牛奶味1000Ml</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润肤油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（约）100ml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100ml</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个人润肤</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电车皂</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（约）300g</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300g/脂肪酸钠</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快洁洗衣粉</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（约）200g/包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200g无磷配方</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洗洁精（20KG)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（约）20kg洗洁精</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20kg,无磷环保无残留，柠檬香型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罐</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洁厕精（500g）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（约）500g洁厕精</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500g无磷环保无残留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洗洁精（900g)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（约）900g洗洁精</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900g无磷环保无残留，柠檬香型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洗洁精（1.8kg)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（约）2kg洗洁精</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1.8kg无磷环保无残留，柠檬香型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洗涤清洁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百洁布（无海绵）</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超洁净</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清洁用具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脚踏垃圾桶(小）</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（约）11L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脚踏开盖式，长筒形，PP+ABS，</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清洁用具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脚踏垃圾桶（中）</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（约）32.5×29cm，14L</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脚踏开盖式，长筒形，PP+ABS，</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清洁用具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密封袋(10×14cm）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（约）10×14cm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2822738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密封袋（15×20cm）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（约）15×20cm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159263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密封袋（24×36cm）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（约）24×35cm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267313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一次性胶杯（180ml)</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（约）180ML，50个/条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透明胶杯无异味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饮水工具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一次性小纸杯（2.5安士）</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（约）2.5安士，50个/条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无荧光漂白耐高温厚纸质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饮水工具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一次性纸杯（9安士）</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（约）190g/9安士，50个/条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无荧光漂白耐高温厚纸质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饮水工具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保鲜膜</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（约）60m×30cm/卷</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聚乙烯（食品级PE）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不锈钢衣钩（10钩/排）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10钩/排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10钩/排，不锈钢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不锈钢衣钩（6钩/排）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6钩/排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6钩/排，不锈钢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不锈钢衣钩（8钩/排）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8钩/排</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8钩/排，不锈钢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强力粘钩</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2个/卡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PS树脂 特级胶棉</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强力粘钩（大号）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大号，1个/卡（内赠胶条）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塑料，牢固防水，无痕</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强力粘钩（小号）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小号，2个/卡（内赠胶条）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塑料，牢固防水，无痕</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强力粘钩（中号）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中号，2个/卡（内赠胶条）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塑料，牢固防水，无痕</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塑料粘钩（普通）</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小号挂钩*2个/卡</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胶制</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圆形挂钟（石英钟）</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（约）直径31cm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塑料扫秒圆形挂墙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玻璃奶瓶</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120ml</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1.5伏钮扣电池</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1.5伏</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1.5V，直径7.9mm，高度3.6mm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电池（9V）</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9伏，</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超强碳性，17.5×26.4×30.2mm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碱性电池（12V）</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12V</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12V，23A</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碱性电池（3号）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3号，碱性</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3号，碱性</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碱性电池（5号）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5号，1.5V，</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5号，1.5V，</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53588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碱性电池（7号）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7号，1.5V，</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7号，1.5V，</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碱性电池（大号）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大号，碱性</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大号，碱性</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充电电池（7#）</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7号</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日用电工</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红尼龙绳球</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（约）200G/卷</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尼龙</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捆扎</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台式电话机</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来电显示，免提，可调铃声</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来电显示，免提，可调铃声</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通讯设备</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子母电话机</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无绳子母机</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来电显示，免提，可调铃声</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通讯设备</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擦手纸</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（约）220mm*215mm（单层）200张/包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100%原木浆220mm*215mm（单层）200张/包</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连卷袋(各种规格加厚）</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（约）20cm*30cm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加厚，透明无异味，PVC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连卷袋(各种规格加厚）</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（约）30cm*40cm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加厚，透明无异味，PVC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卫生纸(公共卫生间专用)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（约）180*134</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520节2层迷你中心抽</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擦手纸(公共卫生间专用)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（约）220*215mm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200张/包/三折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484825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A5浅黄复印纸（80g）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黄色 A5/80G/500页/包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A5/80G 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A5粉红复印纸（80g）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粉红色 A5/80G/500页/包</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A5/80G 木浆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办公用纸</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电筒（带电池）</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200-500米照程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电筒（带电池）</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小号</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200-500米照程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洗衣液</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（约）2KG</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深层清洁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密封盒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（约）15×10cm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密封盒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（约）20×30cm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密封盒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（约）25×33cm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储物箱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（约）30×45cm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储物箱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（约）25×38cm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储物箱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（约）40×70cm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储物箱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（约）50×75cm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太阳能电筒</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300-500米照程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专用加厚密封袋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（约）29*40cm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专用加厚密封袋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（约）36*48cm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专用加厚密封袋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（约）24*36cm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217</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专用加厚密封袋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（约）18*26cm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专用加厚密封袋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（约）15*20cm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219</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专用加厚密封袋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（约）11*16cm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冲凉袋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（约）60×60cm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长方胶筛（各种规格）</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（约）30cm*21cm*8cm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360CC大胶杯</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360CC</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透明无异味，PVC</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89625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保鲜袋</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点断式裁线 ，（约）60×30cm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无异味，PE聚乙烯</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一次性清洁巾</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（约）24×35cm，伽玛</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150页、包无纺布，吸水率＞600%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收纳箱（各种规格）</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（约）40×70cm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226</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收纳箱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（约）50×75cm</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PP、PE无毒、无异味</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227</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飘渍洗衣粉</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20kg</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快洁洗衣粉</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228</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铅笔刨</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05文具--杂类</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229</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一次性内裤/男款</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10其他杂类</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一次性内裤/男款</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10其他杂类</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XL码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七度空间少女夜用卫生巾</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10其他杂类</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232</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国产(Domestic)8mm红色圆点标签纸*15张</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8mm*15张/红色</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8mm*15张/红色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233</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国产(Domestic)8mm黄色圆点标签纸*15张</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8mm*15张/黄色</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8mm*15张/黄色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国产(Domestic)13mm红色圆点标签纸*15张</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13mm*15张</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13mm*15张</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国产(Domestic)16mm黄色圆点标签纸*15张</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16mm黄色</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16mm黄色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包</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回形针筒</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05文具--杂类</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得力印章垫9878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9878</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9878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238</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A4皮纹封面纸</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A4/230g</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A4/230g</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239</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晟琪旋转报告夹</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AQ321</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AQ321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240</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达派抽杆夹</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科缘A4磁性展示贴</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242</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普雅会议牌B-246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110*220mm</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110*220mm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日用品</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243</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红杰A4横板夹</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桌面办公</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 </w:t>
            </w:r>
          </w:p>
        </w:tc>
      </w:tr>
    </w:tbl>
    <w:p>
      <w:pPr>
        <w:pStyle w:val="5"/>
        <w:tabs>
          <w:tab w:val="left" w:pos="540"/>
        </w:tabs>
        <w:bidi w:val="0"/>
        <w:adjustRightInd w:val="0"/>
        <w:snapToGrid w:val="0"/>
        <w:spacing w:line="360" w:lineRule="auto"/>
        <w:rPr>
          <w:rStyle w:val="4"/>
          <w:rFonts w:hint="eastAsia" w:hAnsi="宋体" w:eastAsia="宋体" w:cs="宋体"/>
          <w:b/>
          <w:sz w:val="24"/>
          <w:szCs w:val="24"/>
        </w:rPr>
      </w:pPr>
    </w:p>
    <w:p>
      <w:pPr>
        <w:pStyle w:val="5"/>
        <w:tabs>
          <w:tab w:val="left" w:pos="540"/>
        </w:tabs>
        <w:bidi w:val="0"/>
        <w:adjustRightInd w:val="0"/>
        <w:snapToGrid w:val="0"/>
        <w:spacing w:line="360" w:lineRule="auto"/>
        <w:rPr>
          <w:rStyle w:val="4"/>
          <w:rFonts w:hint="eastAsia" w:hAnsi="宋体" w:eastAsia="宋体" w:cs="宋体"/>
          <w:b/>
          <w:sz w:val="24"/>
          <w:szCs w:val="24"/>
        </w:rPr>
      </w:pP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采购项目商务要求</w:t>
      </w:r>
    </w:p>
    <w:p>
      <w:pPr>
        <w:pStyle w:val="9"/>
        <w:bidi w:val="0"/>
        <w:spacing w:line="360" w:lineRule="auto"/>
        <w:ind w:firstLine="0" w:firstLineChars="0"/>
        <w:rPr>
          <w:rStyle w:val="4"/>
          <w:rFonts w:hint="eastAsia" w:ascii="宋体" w:hAnsi="宋体" w:eastAsia="宋体" w:cs="宋体"/>
          <w:sz w:val="24"/>
        </w:rPr>
      </w:pPr>
      <w:r>
        <w:rPr>
          <w:rStyle w:val="4"/>
          <w:rFonts w:hint="eastAsia" w:ascii="宋体" w:hAnsi="宋体" w:eastAsia="宋体" w:cs="宋体"/>
          <w:sz w:val="24"/>
        </w:rPr>
        <w:t>供货要求：合同签订后的</w:t>
      </w:r>
      <w:r>
        <w:rPr>
          <w:rStyle w:val="4"/>
          <w:rFonts w:hint="eastAsia" w:ascii="宋体" w:hAnsi="宋体" w:eastAsia="宋体" w:cs="宋体"/>
          <w:sz w:val="24"/>
          <w:u w:val="single"/>
        </w:rPr>
        <w:t>两年</w:t>
      </w:r>
      <w:r>
        <w:rPr>
          <w:rStyle w:val="4"/>
          <w:rFonts w:hint="eastAsia" w:ascii="宋体" w:hAnsi="宋体" w:eastAsia="宋体" w:cs="宋体"/>
          <w:sz w:val="24"/>
        </w:rPr>
        <w:t>内按采购人需求分批到货（实际供货中，以合同、投标文件的响应情况为准。）</w:t>
      </w:r>
    </w:p>
    <w:p>
      <w:pPr>
        <w:pStyle w:val="5"/>
        <w:numPr>
          <w:ilvl w:val="0"/>
          <w:numId w:val="1"/>
        </w:numPr>
        <w:tabs>
          <w:tab w:val="left" w:pos="540"/>
        </w:tabs>
        <w:bidi w:val="0"/>
        <w:adjustRightInd w:val="0"/>
        <w:snapToGrid w:val="0"/>
        <w:spacing w:line="360" w:lineRule="auto"/>
        <w:ind w:left="420" w:leftChars="0" w:firstLineChars="0"/>
        <w:rPr>
          <w:rStyle w:val="4"/>
          <w:rFonts w:hint="eastAsia" w:hAnsi="宋体" w:eastAsia="宋体" w:cs="宋体"/>
          <w:b/>
          <w:sz w:val="24"/>
          <w:szCs w:val="24"/>
        </w:rPr>
      </w:pPr>
      <w:r>
        <w:rPr>
          <w:rStyle w:val="4"/>
          <w:rFonts w:hint="eastAsia" w:hAnsi="宋体" w:eastAsia="宋体" w:cs="宋体"/>
          <w:b/>
          <w:sz w:val="24"/>
          <w:szCs w:val="24"/>
        </w:rPr>
        <w:t>付款方式</w:t>
      </w:r>
    </w:p>
    <w:p>
      <w:pPr>
        <w:pStyle w:val="6"/>
        <w:numPr>
          <w:ilvl w:val="0"/>
          <w:numId w:val="7"/>
        </w:numPr>
        <w:autoSpaceDE w:val="0"/>
        <w:autoSpaceDN w:val="0"/>
        <w:bidi w:val="0"/>
        <w:adjustRightInd w:val="0"/>
        <w:snapToGrid w:val="0"/>
        <w:spacing w:line="360" w:lineRule="auto"/>
        <w:ind w:left="0"/>
        <w:jc w:val="left"/>
        <w:rPr>
          <w:rStyle w:val="4"/>
          <w:rFonts w:hint="eastAsia" w:ascii="宋体" w:hAnsi="宋体" w:eastAsia="宋体" w:cs="宋体"/>
          <w:kern w:val="21"/>
          <w:sz w:val="24"/>
        </w:rPr>
      </w:pPr>
      <w:r>
        <w:rPr>
          <w:rStyle w:val="4"/>
          <w:rFonts w:hint="eastAsia" w:ascii="宋体" w:hAnsi="宋体" w:eastAsia="宋体" w:cs="宋体"/>
          <w:sz w:val="24"/>
        </w:rPr>
        <w:t>付款采用月结方式。中标人向采购人交付货物、正式发票及经采购人确认的送货清单，向采购人申请付款。采购人收到发票后，原则上在5个工作日内以支票或转账付款方式付货款给中标人；</w:t>
      </w:r>
    </w:p>
    <w:p>
      <w:pPr>
        <w:pStyle w:val="6"/>
        <w:numPr>
          <w:ilvl w:val="0"/>
          <w:numId w:val="7"/>
        </w:numPr>
        <w:autoSpaceDE w:val="0"/>
        <w:autoSpaceDN w:val="0"/>
        <w:bidi w:val="0"/>
        <w:adjustRightInd w:val="0"/>
        <w:snapToGrid w:val="0"/>
        <w:spacing w:line="360" w:lineRule="auto"/>
        <w:ind w:left="0"/>
        <w:jc w:val="left"/>
        <w:rPr>
          <w:rStyle w:val="4"/>
          <w:rFonts w:hint="eastAsia" w:ascii="宋体" w:hAnsi="宋体" w:eastAsia="宋体" w:cs="宋体"/>
          <w:kern w:val="21"/>
          <w:sz w:val="24"/>
        </w:rPr>
      </w:pPr>
      <w:r>
        <w:rPr>
          <w:rStyle w:val="4"/>
          <w:rFonts w:hint="eastAsia" w:ascii="宋体" w:hAnsi="宋体" w:eastAsia="宋体" w:cs="宋体"/>
          <w:kern w:val="21"/>
          <w:sz w:val="24"/>
        </w:rPr>
        <w:t>中标人凭以下有效文件与采购人结算：</w:t>
      </w:r>
    </w:p>
    <w:p>
      <w:pPr>
        <w:pStyle w:val="6"/>
        <w:bidi w:val="0"/>
        <w:adjustRightInd w:val="0"/>
        <w:snapToGrid w:val="0"/>
        <w:spacing w:line="360" w:lineRule="auto"/>
        <w:ind w:firstLine="360" w:firstLineChars="150"/>
        <w:rPr>
          <w:rStyle w:val="4"/>
          <w:rFonts w:hint="eastAsia" w:ascii="宋体" w:hAnsi="宋体" w:eastAsia="宋体" w:cs="宋体"/>
          <w:sz w:val="24"/>
        </w:rPr>
      </w:pPr>
      <w:r>
        <w:rPr>
          <w:rStyle w:val="4"/>
          <w:rFonts w:hint="eastAsia" w:ascii="宋体" w:hAnsi="宋体" w:eastAsia="宋体" w:cs="宋体"/>
          <w:sz w:val="24"/>
        </w:rPr>
        <w:t>（1）合同；（首次付款）</w:t>
      </w:r>
    </w:p>
    <w:p>
      <w:pPr>
        <w:pStyle w:val="6"/>
        <w:bidi w:val="0"/>
        <w:adjustRightInd w:val="0"/>
        <w:snapToGrid w:val="0"/>
        <w:spacing w:line="360" w:lineRule="auto"/>
        <w:ind w:firstLine="360" w:firstLineChars="150"/>
        <w:rPr>
          <w:rStyle w:val="4"/>
          <w:rFonts w:hint="eastAsia" w:ascii="宋体" w:hAnsi="宋体" w:eastAsia="宋体" w:cs="宋体"/>
          <w:sz w:val="24"/>
        </w:rPr>
      </w:pPr>
      <w:r>
        <w:rPr>
          <w:rStyle w:val="4"/>
          <w:rFonts w:hint="eastAsia" w:ascii="宋体" w:hAnsi="宋体" w:eastAsia="宋体" w:cs="宋体"/>
          <w:sz w:val="24"/>
        </w:rPr>
        <w:t>（2）中标人开具的正式发票；</w:t>
      </w:r>
    </w:p>
    <w:p>
      <w:pPr>
        <w:pStyle w:val="6"/>
        <w:bidi w:val="0"/>
        <w:adjustRightInd w:val="0"/>
        <w:snapToGrid w:val="0"/>
        <w:spacing w:line="360" w:lineRule="auto"/>
        <w:ind w:firstLine="360" w:firstLineChars="150"/>
        <w:rPr>
          <w:rStyle w:val="4"/>
          <w:rFonts w:hint="eastAsia" w:ascii="宋体" w:hAnsi="宋体" w:eastAsia="宋体" w:cs="宋体"/>
          <w:sz w:val="24"/>
        </w:rPr>
      </w:pPr>
      <w:r>
        <w:rPr>
          <w:rStyle w:val="4"/>
          <w:rFonts w:hint="eastAsia" w:ascii="宋体" w:hAnsi="宋体" w:eastAsia="宋体" w:cs="宋体"/>
          <w:sz w:val="24"/>
        </w:rPr>
        <w:t>（3）送货清单（加盖采购人公章）；</w:t>
      </w:r>
    </w:p>
    <w:p>
      <w:pPr>
        <w:pStyle w:val="6"/>
        <w:bidi w:val="0"/>
        <w:adjustRightInd w:val="0"/>
        <w:snapToGrid w:val="0"/>
        <w:spacing w:line="360" w:lineRule="auto"/>
        <w:ind w:firstLine="360" w:firstLineChars="150"/>
        <w:rPr>
          <w:rStyle w:val="4"/>
          <w:rFonts w:hint="eastAsia" w:ascii="宋体" w:hAnsi="宋体" w:eastAsia="宋体" w:cs="宋体"/>
          <w:sz w:val="24"/>
        </w:rPr>
      </w:pPr>
      <w:r>
        <w:rPr>
          <w:rStyle w:val="4"/>
          <w:rFonts w:hint="eastAsia" w:ascii="宋体" w:hAnsi="宋体" w:eastAsia="宋体" w:cs="宋体"/>
          <w:sz w:val="24"/>
        </w:rPr>
        <w:t>（4）中标通知书。（首次付款）</w:t>
      </w:r>
    </w:p>
    <w:p>
      <w:pPr>
        <w:pStyle w:val="12"/>
        <w:bidi w:val="0"/>
        <w:spacing w:line="360" w:lineRule="auto"/>
        <w:ind w:firstLine="0"/>
        <w:rPr>
          <w:rStyle w:val="4"/>
          <w:rFonts w:hint="eastAsia" w:ascii="宋体" w:hAnsi="宋体" w:eastAsia="宋体" w:cs="宋体"/>
          <w:sz w:val="24"/>
        </w:rPr>
      </w:pPr>
    </w:p>
    <w:p>
      <w:pPr>
        <w:pStyle w:val="6"/>
        <w:bidi w:val="0"/>
        <w:adjustRightInd w:val="0"/>
        <w:snapToGrid w:val="0"/>
        <w:spacing w:line="360" w:lineRule="auto"/>
        <w:ind w:firstLine="360" w:firstLineChars="150"/>
        <w:rPr>
          <w:rStyle w:val="4"/>
          <w:rFonts w:hint="eastAsia" w:ascii="宋体" w:hAnsi="宋体" w:eastAsia="宋体" w:cs="宋体"/>
          <w:sz w:val="24"/>
        </w:rPr>
      </w:pPr>
    </w:p>
    <w:p>
      <w:pPr>
        <w:outlineLvl w:val="0"/>
        <w:rPr>
          <w:rFonts w:hint="eastAsia" w:ascii="宋体" w:hAnsi="宋体" w:cs="宋体"/>
          <w:b/>
          <w:szCs w:val="21"/>
        </w:rPr>
      </w:pPr>
    </w:p>
    <w:p>
      <w:pPr>
        <w:ind w:firstLine="643" w:firstLineChars="200"/>
        <w:jc w:val="center"/>
        <w:rPr>
          <w:rFonts w:hint="eastAsia" w:ascii="宋体" w:hAnsi="宋体" w:cs="宋体"/>
          <w:b/>
          <w:sz w:val="32"/>
          <w:szCs w:val="32"/>
        </w:rPr>
      </w:pPr>
    </w:p>
    <w:p>
      <w:bookmarkStart w:id="0" w:name="_GoBack"/>
      <w:bookmarkEnd w:id="0"/>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F60E5"/>
    <w:multiLevelType w:val="multilevel"/>
    <w:tmpl w:val="6E6F60E5"/>
    <w:lvl w:ilvl="0" w:tentative="0">
      <w:start w:val="1"/>
      <w:numFmt w:val="japaneseCounting"/>
      <w:lvlText w:val="%1、"/>
      <w:lvlJc w:val="left"/>
      <w:pPr>
        <w:tabs>
          <w:tab w:val="left" w:pos="420"/>
        </w:tabs>
        <w:ind w:left="840" w:hanging="420"/>
      </w:pPr>
      <w:rPr>
        <w:rFonts w:ascii="宋体" w:hAnsi="宋体" w:eastAsia="宋体" w:cs="Courier New"/>
        <w:color w:val="auto"/>
      </w:rPr>
    </w:lvl>
    <w:lvl w:ilvl="1" w:tentative="0">
      <w:start w:val="1"/>
      <w:numFmt w:val="chineseCounting"/>
      <w:lvlText w:val="（%2）"/>
      <w:lvlJc w:val="left"/>
      <w:pPr>
        <w:tabs>
          <w:tab w:val="left" w:pos="780"/>
        </w:tabs>
        <w:ind w:left="780" w:hanging="36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E6F60E6"/>
    <w:multiLevelType w:val="multilevel"/>
    <w:tmpl w:val="6E6F60E6"/>
    <w:lvl w:ilvl="0" w:tentative="0">
      <w:start w:val="1"/>
      <w:numFmt w:val="decimal"/>
      <w:lvlText w:val="%1."/>
      <w:lvlJc w:val="left"/>
      <w:pPr>
        <w:tabs>
          <w:tab w:val="left" w:pos="420"/>
        </w:tabs>
        <w:ind w:left="420" w:hanging="420"/>
      </w:pPr>
      <w:rPr>
        <w:color w:val="auto"/>
      </w:rPr>
    </w:lvl>
    <w:lvl w:ilvl="1" w:tentative="0">
      <w:start w:val="1"/>
      <w:numFmt w:val="chineseCounting"/>
      <w:lvlText w:val="（%2）"/>
      <w:lvlJc w:val="left"/>
      <w:pPr>
        <w:tabs>
          <w:tab w:val="left" w:pos="780"/>
        </w:tabs>
        <w:ind w:left="780" w:hanging="36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E6F60E7"/>
    <w:multiLevelType w:val="multilevel"/>
    <w:tmpl w:val="6E6F60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6F60E8"/>
    <w:multiLevelType w:val="multilevel"/>
    <w:tmpl w:val="6E6F60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E9"/>
    <w:multiLevelType w:val="multilevel"/>
    <w:tmpl w:val="6E6F60E9"/>
    <w:lvl w:ilvl="0" w:tentative="0">
      <w:start w:val="1"/>
      <w:numFmt w:val="decimal"/>
      <w:lvlText w:val="%1."/>
      <w:lvlJc w:val="left"/>
      <w:pPr>
        <w:ind w:left="105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6F60EA"/>
    <w:multiLevelType w:val="multilevel"/>
    <w:tmpl w:val="6E6F60EA"/>
    <w:lvl w:ilvl="0" w:tentative="0">
      <w:start w:val="1"/>
      <w:numFmt w:val="decimal"/>
      <w:lvlText w:val="%1."/>
      <w:lvlJc w:val="left"/>
      <w:pPr>
        <w:ind w:left="420" w:hanging="4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6F60EB"/>
    <w:multiLevelType w:val="multilevel"/>
    <w:tmpl w:val="6E6F60EB"/>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 w:name="KSO_WPS_MARK_KEY" w:val="06c2b4f2-5314-41ba-9394-d204c45dd1ab"/>
  </w:docVars>
  <w:rsids>
    <w:rsidRoot w:val="66E05C0A"/>
    <w:rsid w:val="3CC53AC4"/>
    <w:rsid w:val="66E05C0A"/>
    <w:rsid w:val="6EC2780C"/>
    <w:rsid w:val="7CFE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uto"/>
    </w:pPr>
    <w:rPr>
      <w:kern w:val="0"/>
      <w:sz w:val="18"/>
      <w:szCs w:val="18"/>
    </w:rPr>
  </w:style>
  <w:style w:type="paragraph" w:customStyle="1" w:styleId="5">
    <w:name w:val="纯文本_0"/>
    <w:basedOn w:val="6"/>
    <w:autoRedefine/>
    <w:qFormat/>
    <w:uiPriority w:val="99"/>
    <w:rPr>
      <w:rFonts w:ascii="宋体" w:hAnsi="Courier New"/>
      <w:kern w:val="0"/>
      <w:sz w:val="20"/>
      <w:szCs w:val="21"/>
    </w:rPr>
  </w:style>
  <w:style w:type="paragraph" w:customStyle="1" w:styleId="6">
    <w:name w:val="正文_0"/>
    <w:autoRedefine/>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7">
    <w:name w:val="超链接_0"/>
    <w:autoRedefine/>
    <w:qFormat/>
    <w:uiPriority w:val="99"/>
    <w:rPr>
      <w:color w:val="0000FF"/>
      <w:u w:val="single"/>
    </w:rPr>
  </w:style>
  <w:style w:type="paragraph" w:customStyle="1" w:styleId="8">
    <w:name w:val="批注文字_0"/>
    <w:basedOn w:val="6"/>
    <w:autoRedefine/>
    <w:qFormat/>
    <w:uiPriority w:val="0"/>
    <w:pPr>
      <w:jc w:val="left"/>
    </w:pPr>
  </w:style>
  <w:style w:type="paragraph" w:styleId="9">
    <w:name w:val="List Paragraph"/>
    <w:basedOn w:val="6"/>
    <w:autoRedefine/>
    <w:qFormat/>
    <w:uiPriority w:val="34"/>
    <w:pPr>
      <w:ind w:firstLine="420" w:firstLineChars="200"/>
    </w:pPr>
  </w:style>
  <w:style w:type="character" w:customStyle="1" w:styleId="10">
    <w:name w:val="font61"/>
    <w:basedOn w:val="4"/>
    <w:autoRedefine/>
    <w:qFormat/>
    <w:uiPriority w:val="0"/>
    <w:rPr>
      <w:rFonts w:hint="eastAsia" w:ascii="宋体" w:hAnsi="宋体" w:eastAsia="宋体" w:cs="宋体"/>
      <w:color w:val="000000"/>
      <w:sz w:val="18"/>
      <w:szCs w:val="18"/>
      <w:u w:val="none"/>
    </w:rPr>
  </w:style>
  <w:style w:type="paragraph" w:customStyle="1" w:styleId="11">
    <w:name w:val="标题 3_0"/>
    <w:basedOn w:val="6"/>
    <w:next w:val="12"/>
    <w:autoRedefine/>
    <w:qFormat/>
    <w:uiPriority w:val="0"/>
    <w:pPr>
      <w:widowControl w:val="0"/>
      <w:tabs>
        <w:tab w:val="left" w:pos="851"/>
      </w:tabs>
      <w:autoSpaceDE w:val="0"/>
      <w:autoSpaceDN w:val="0"/>
      <w:adjustRightInd w:val="0"/>
      <w:snapToGrid w:val="0"/>
      <w:spacing w:line="360" w:lineRule="auto"/>
      <w:jc w:val="both"/>
      <w:outlineLvl w:val="2"/>
    </w:pPr>
    <w:rPr>
      <w:rFonts w:ascii="宋体" w:hAnsi="Tahoma"/>
      <w:kern w:val="2"/>
    </w:rPr>
  </w:style>
  <w:style w:type="paragraph" w:customStyle="1" w:styleId="12">
    <w:name w:val="正文缩进_0"/>
    <w:basedOn w:val="6"/>
    <w:autoRedefine/>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11922</Words>
  <Characters>14935</Characters>
  <Lines>0</Lines>
  <Paragraphs>0</Paragraphs>
  <TotalTime>166</TotalTime>
  <ScaleCrop>false</ScaleCrop>
  <LinksUpToDate>false</LinksUpToDate>
  <CharactersWithSpaces>15236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2024-04-30T05:40:00Z</dcterms:created>
  <dc:creator>sunrayk</dc:creator>
  <cp:lastModifiedBy>吴瑞敏</cp:lastModifiedBy>
  <dcterms:modified xsi:type="dcterms:W3CDTF">2024-05-06T06:52:03Z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88AF24CC048D4129877847A966E59D04</vt:lpwstr>
  </property>
</Properties>
</file>