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outlineLvl w:val="0"/>
        <w:rPr>
          <w:rFonts w:hint="eastAsia"/>
          <w:b/>
          <w:bCs/>
          <w:sz w:val="28"/>
          <w:szCs w:val="28"/>
        </w:rPr>
      </w:pPr>
      <w:bookmarkStart w:id="0" w:name="_Toc69293368"/>
      <w:bookmarkStart w:id="1" w:name="_Toc13067021"/>
      <w:bookmarkStart w:id="2" w:name="_Toc435115055"/>
      <w:bookmarkStart w:id="3" w:name="_Toc435514850"/>
      <w:bookmarkStart w:id="4" w:name="_Toc435109306"/>
      <w:r>
        <w:rPr>
          <w:rFonts w:hint="eastAsia"/>
          <w:b/>
          <w:bCs/>
          <w:sz w:val="28"/>
          <w:szCs w:val="28"/>
          <w:lang w:val="en-US" w:eastAsia="zh-CN"/>
        </w:rPr>
        <w:t>服务</w:t>
      </w:r>
      <w:r>
        <w:rPr>
          <w:rFonts w:hint="eastAsia"/>
          <w:b/>
          <w:bCs/>
          <w:sz w:val="28"/>
          <w:szCs w:val="28"/>
        </w:rPr>
        <w:t>采购需求</w:t>
      </w:r>
      <w:bookmarkEnd w:id="0"/>
      <w:bookmarkEnd w:id="1"/>
    </w:p>
    <w:p>
      <w:pPr>
        <w:pStyle w:val="25"/>
        <w:rPr>
          <w:rFonts w:hint="eastAsia"/>
        </w:rPr>
      </w:pPr>
    </w:p>
    <w:p>
      <w:pPr>
        <w:pStyle w:val="4"/>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24"/>
          <w:szCs w:val="24"/>
          <w:lang w:eastAsia="zh-CN"/>
        </w:rPr>
        <w:t>供应商</w:t>
      </w:r>
      <w:r>
        <w:rPr>
          <w:rFonts w:hint="eastAsia" w:ascii="宋体" w:hAnsi="宋体" w:cs="宋体"/>
          <w:sz w:val="24"/>
          <w:szCs w:val="24"/>
        </w:rPr>
        <w:t>的资格要求</w:t>
      </w:r>
    </w:p>
    <w:p>
      <w:pPr>
        <w:ind w:firstLine="420" w:firstLineChars="200"/>
        <w:rPr>
          <w:rFonts w:hint="eastAsia" w:asciiTheme="minorEastAsia" w:hAnsiTheme="minorEastAsia"/>
          <w:sz w:val="21"/>
          <w:szCs w:val="21"/>
        </w:rPr>
      </w:pPr>
      <w:r>
        <w:rPr>
          <w:rFonts w:hint="eastAsia" w:asciiTheme="minorEastAsia" w:hAnsiTheme="minorEastAsia"/>
          <w:sz w:val="21"/>
          <w:szCs w:val="21"/>
        </w:rPr>
        <w:t>（1）服务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商应具备《政府采购法》第二十二条规定的条件,即：</w:t>
      </w:r>
    </w:p>
    <w:p>
      <w:pPr>
        <w:ind w:firstLine="420" w:firstLineChars="200"/>
        <w:rPr>
          <w:rFonts w:hint="eastAsia" w:asciiTheme="minorEastAsia" w:hAnsiTheme="minorEastAsia"/>
          <w:sz w:val="21"/>
          <w:szCs w:val="21"/>
        </w:rPr>
      </w:pPr>
      <w:r>
        <w:rPr>
          <w:rFonts w:hint="eastAsia" w:asciiTheme="minorEastAsia" w:hAnsiTheme="minorEastAsia"/>
          <w:sz w:val="21"/>
          <w:szCs w:val="21"/>
        </w:rPr>
        <w:t>1）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2）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商应当具有良好的商业信誉和健全的财务会计制度。以下列证明之一为准：</w:t>
      </w:r>
    </w:p>
    <w:p>
      <w:pPr>
        <w:rPr>
          <w:rFonts w:hint="eastAsia" w:asciiTheme="minorEastAsia" w:hAnsiTheme="minorEastAsia"/>
          <w:sz w:val="21"/>
          <w:szCs w:val="21"/>
        </w:rPr>
      </w:pPr>
      <w:r>
        <w:rPr>
          <w:rFonts w:hint="eastAsia" w:asciiTheme="minorEastAsia" w:hAnsiTheme="minorEastAsia"/>
          <w:sz w:val="21"/>
          <w:szCs w:val="21"/>
        </w:rPr>
        <w:t xml:space="preserve">① </w:t>
      </w:r>
      <w:r>
        <w:rPr>
          <w:rFonts w:hint="eastAsia" w:asciiTheme="minorEastAsia" w:hAnsiTheme="minorEastAsia"/>
          <w:sz w:val="21"/>
          <w:szCs w:val="21"/>
          <w:lang w:eastAsia="zh-CN"/>
        </w:rPr>
        <w:t>2022</w:t>
      </w:r>
      <w:r>
        <w:rPr>
          <w:rFonts w:hint="eastAsia" w:asciiTheme="minorEastAsia" w:hAnsiTheme="minorEastAsia"/>
          <w:sz w:val="21"/>
          <w:szCs w:val="21"/>
        </w:rPr>
        <w:t>年度经审核的含财务报表的财务（状况）报告（适用于在上一年度前成立的法人或其他组织，年度由连续12个历月构成，从1月1日起至12月31日止）；</w:t>
      </w:r>
    </w:p>
    <w:p>
      <w:pPr>
        <w:rPr>
          <w:rFonts w:hint="eastAsia" w:asciiTheme="minorEastAsia" w:hAnsiTheme="minorEastAsia"/>
          <w:sz w:val="21"/>
          <w:szCs w:val="21"/>
        </w:rPr>
      </w:pPr>
      <w:r>
        <w:rPr>
          <w:rFonts w:hint="eastAsia" w:asciiTheme="minorEastAsia" w:hAnsiTheme="minorEastAsia"/>
          <w:sz w:val="21"/>
          <w:szCs w:val="21"/>
        </w:rPr>
        <w:t>② 最近一期财务报表（适用在上一年度或本财务年度成立的法人或其他组织）；</w:t>
      </w:r>
    </w:p>
    <w:p>
      <w:pPr>
        <w:rPr>
          <w:rFonts w:hint="eastAsia" w:asciiTheme="minorEastAsia" w:hAnsiTheme="minorEastAsia"/>
          <w:sz w:val="21"/>
          <w:szCs w:val="21"/>
        </w:rPr>
      </w:pPr>
      <w:r>
        <w:rPr>
          <w:rFonts w:hint="eastAsia" w:asciiTheme="minorEastAsia" w:hAnsiTheme="minorEastAsia"/>
          <w:sz w:val="21"/>
          <w:szCs w:val="21"/>
        </w:rPr>
        <w:t>③ 存款账户开户银行最近一个月内出具的资信证明（适用于法人或其他组织）。</w:t>
      </w:r>
    </w:p>
    <w:p>
      <w:pPr>
        <w:ind w:firstLine="420" w:firstLineChars="200"/>
        <w:rPr>
          <w:rFonts w:hint="eastAsia" w:asciiTheme="minorEastAsia" w:hAnsiTheme="minorEastAsia"/>
          <w:sz w:val="21"/>
          <w:szCs w:val="21"/>
        </w:rPr>
      </w:pPr>
      <w:r>
        <w:rPr>
          <w:rFonts w:hint="eastAsia" w:asciiTheme="minorEastAsia" w:hAnsiTheme="minorEastAsia"/>
          <w:sz w:val="21"/>
          <w:szCs w:val="21"/>
        </w:rPr>
        <w:t>3）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4）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商应当具备履行合同所必需的设备和专业技术能力。以具有相关的设备及专业技术能力的证明材料或书面承诺为准。（格式自定）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5）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商参加政府采购活动前三年内，在经营活动中没有重大违法记录（重大违法记录是指</w:t>
      </w:r>
      <w:r>
        <w:rPr>
          <w:rFonts w:hint="eastAsia" w:asciiTheme="minorEastAsia" w:hAnsiTheme="minorEastAsia"/>
          <w:sz w:val="21"/>
          <w:szCs w:val="21"/>
          <w:lang w:eastAsia="zh-CN"/>
        </w:rPr>
        <w:t>服务供应商</w:t>
      </w:r>
      <w:r>
        <w:rPr>
          <w:rFonts w:hint="eastAsia" w:asciiTheme="minorEastAsia" w:hAnsiTheme="minorEastAsia"/>
          <w:sz w:val="21"/>
          <w:szCs w:val="21"/>
        </w:rPr>
        <w:t>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6）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商必须符合法律、行政法规规定的其他条件。</w:t>
      </w:r>
    </w:p>
    <w:p>
      <w:pPr>
        <w:ind w:firstLine="210" w:firstLineChars="100"/>
        <w:rPr>
          <w:rFonts w:asciiTheme="minorEastAsia" w:hAnsiTheme="minorEastAsia"/>
          <w:sz w:val="21"/>
          <w:szCs w:val="21"/>
        </w:rPr>
      </w:pPr>
      <w:r>
        <w:rPr>
          <w:rFonts w:hint="eastAsia" w:asciiTheme="minorEastAsia" w:hAnsiTheme="minorEastAsia"/>
          <w:sz w:val="21"/>
          <w:szCs w:val="21"/>
        </w:rPr>
        <w:t>（2）服务</w:t>
      </w:r>
      <w:r>
        <w:rPr>
          <w:rFonts w:hint="eastAsia" w:asciiTheme="minorEastAsia" w:hAnsiTheme="minorEastAsia"/>
          <w:sz w:val="21"/>
          <w:szCs w:val="21"/>
          <w:lang w:val="en-US" w:eastAsia="zh-CN"/>
        </w:rPr>
        <w:t>供应</w:t>
      </w:r>
      <w:r>
        <w:rPr>
          <w:rFonts w:hint="eastAsia" w:asciiTheme="minorEastAsia" w:hAnsiTheme="minorEastAsia"/>
          <w:sz w:val="21"/>
          <w:szCs w:val="21"/>
        </w:rPr>
        <w:t>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w:t>
      </w:r>
      <w:r>
        <w:rPr>
          <w:rFonts w:hint="eastAsia" w:asciiTheme="minorEastAsia" w:hAnsiTheme="minorEastAsia"/>
          <w:sz w:val="21"/>
          <w:szCs w:val="21"/>
          <w:lang w:val="en-US" w:eastAsia="zh-CN"/>
        </w:rPr>
        <w:t>供应</w:t>
      </w:r>
      <w:r>
        <w:rPr>
          <w:rFonts w:hint="eastAsia" w:asciiTheme="minorEastAsia" w:hAnsiTheme="minorEastAsia"/>
          <w:sz w:val="21"/>
          <w:szCs w:val="21"/>
        </w:rPr>
        <w:t>商需提供相关证明材料。</w:t>
      </w:r>
    </w:p>
    <w:p>
      <w:pPr>
        <w:adjustRightInd w:val="0"/>
        <w:snapToGrid w:val="0"/>
        <w:spacing w:line="360" w:lineRule="auto"/>
        <w:ind w:firstLine="210" w:firstLineChars="100"/>
        <w:rPr>
          <w:sz w:val="21"/>
          <w:szCs w:val="21"/>
        </w:rPr>
      </w:pPr>
      <w:r>
        <w:rPr>
          <w:rFonts w:hint="eastAsia" w:asciiTheme="minorEastAsia" w:hAnsiTheme="minorEastAsia"/>
          <w:sz w:val="21"/>
          <w:szCs w:val="21"/>
        </w:rPr>
        <w:t>（</w:t>
      </w:r>
      <w:r>
        <w:rPr>
          <w:rFonts w:hint="eastAsia" w:asciiTheme="minorEastAsia" w:hAnsiTheme="minorEastAsia"/>
          <w:sz w:val="21"/>
          <w:szCs w:val="21"/>
          <w:lang w:val="en-US" w:eastAsia="zh-CN"/>
        </w:rPr>
        <w:t>3</w:t>
      </w:r>
      <w:r>
        <w:rPr>
          <w:rFonts w:hint="eastAsia" w:asciiTheme="minorEastAsia" w:hAnsiTheme="minorEastAsia"/>
          <w:sz w:val="21"/>
          <w:szCs w:val="21"/>
        </w:rPr>
        <w:t>）</w:t>
      </w:r>
      <w:r>
        <w:rPr>
          <w:rFonts w:hint="eastAsia" w:ascii="Times New Roman" w:hAnsi="Times New Roman" w:eastAsia="宋体" w:cs="Times New Roman"/>
          <w:sz w:val="21"/>
          <w:szCs w:val="21"/>
        </w:rPr>
        <w:t xml:space="preserve"> </w:t>
      </w:r>
      <w:r>
        <w:rPr>
          <w:rFonts w:hint="eastAsia" w:ascii="宋体" w:hAnsi="宋体" w:eastAsia="宋体" w:cs="Times New Roman"/>
          <w:sz w:val="21"/>
          <w:szCs w:val="21"/>
        </w:rPr>
        <w:t>本项目不接受联合体</w:t>
      </w:r>
      <w:r>
        <w:rPr>
          <w:rFonts w:hint="eastAsia" w:ascii="宋体" w:hAnsi="宋体" w:eastAsia="宋体" w:cs="Times New Roman"/>
          <w:sz w:val="21"/>
          <w:szCs w:val="21"/>
          <w:lang w:val="en-US" w:eastAsia="zh-CN"/>
        </w:rPr>
        <w:t>服务供应商</w:t>
      </w:r>
      <w:r>
        <w:rPr>
          <w:rFonts w:hint="eastAsia" w:ascii="宋体" w:hAnsi="宋体" w:eastAsia="宋体" w:cs="Times New Roman"/>
          <w:sz w:val="21"/>
          <w:szCs w:val="21"/>
        </w:rPr>
        <w:t>。</w:t>
      </w:r>
    </w:p>
    <w:p>
      <w:pPr>
        <w:pStyle w:val="10"/>
        <w:numPr>
          <w:ilvl w:val="0"/>
          <w:numId w:val="0"/>
        </w:numPr>
        <w:tabs>
          <w:tab w:val="left" w:pos="540"/>
        </w:tabs>
        <w:snapToGrid w:val="0"/>
        <w:spacing w:before="120" w:beforeLines="50" w:line="360" w:lineRule="auto"/>
        <w:ind w:leftChars="0"/>
        <w:outlineLvl w:val="1"/>
        <w:rPr>
          <w:rFonts w:hint="eastAsia" w:hAnsi="宋体"/>
          <w:b/>
          <w:sz w:val="24"/>
          <w:szCs w:val="24"/>
        </w:rPr>
      </w:pPr>
      <w:bookmarkStart w:id="5" w:name="_Toc76124992"/>
      <w:bookmarkStart w:id="6" w:name="_Toc69293369"/>
      <w:bookmarkStart w:id="7" w:name="_Toc13067019"/>
      <w:bookmarkStart w:id="8" w:name="_Toc13067022"/>
      <w:bookmarkStart w:id="9" w:name="_Toc13067017"/>
      <w:r>
        <w:rPr>
          <w:rFonts w:hint="eastAsia" w:hAnsi="宋体"/>
          <w:b/>
          <w:sz w:val="24"/>
          <w:szCs w:val="24"/>
          <w:lang w:val="en-US" w:eastAsia="zh-CN"/>
        </w:rPr>
        <w:t>二、</w:t>
      </w:r>
      <w:r>
        <w:rPr>
          <w:rFonts w:hint="eastAsia" w:hAnsi="宋体"/>
          <w:b/>
          <w:sz w:val="24"/>
          <w:szCs w:val="24"/>
        </w:rPr>
        <w:t>项目基本概况</w:t>
      </w:r>
    </w:p>
    <w:p>
      <w:pPr>
        <w:pStyle w:val="10"/>
        <w:numPr>
          <w:ilvl w:val="0"/>
          <w:numId w:val="0"/>
        </w:numPr>
        <w:tabs>
          <w:tab w:val="left" w:pos="540"/>
        </w:tabs>
        <w:snapToGrid w:val="0"/>
        <w:spacing w:before="120" w:beforeLines="50" w:line="360" w:lineRule="auto"/>
        <w:ind w:leftChars="0"/>
        <w:outlineLvl w:val="1"/>
        <w:rPr>
          <w:rFonts w:hAnsi="宋体"/>
          <w:b/>
          <w:sz w:val="24"/>
          <w:szCs w:val="24"/>
        </w:rPr>
      </w:pPr>
      <w:r>
        <w:rPr>
          <w:rFonts w:hint="eastAsia" w:hAnsi="宋体"/>
          <w:b/>
          <w:sz w:val="24"/>
          <w:szCs w:val="24"/>
        </w:rPr>
        <w:t>有关说明</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1、</w:t>
      </w:r>
      <w:r>
        <w:rPr>
          <w:rFonts w:hint="eastAsia" w:ascii="宋体" w:hAnsi="宋体"/>
          <w:bCs/>
          <w:sz w:val="24"/>
        </w:rPr>
        <w:t>服务</w:t>
      </w:r>
      <w:r>
        <w:rPr>
          <w:rFonts w:hint="eastAsia" w:ascii="宋体" w:hAnsi="宋体"/>
          <w:bCs/>
          <w:sz w:val="24"/>
          <w:lang w:val="en-US" w:eastAsia="zh-CN"/>
        </w:rPr>
        <w:t>供应</w:t>
      </w:r>
      <w:r>
        <w:rPr>
          <w:rFonts w:hint="eastAsia" w:ascii="宋体" w:hAnsi="宋体"/>
          <w:bCs/>
          <w:sz w:val="24"/>
        </w:rPr>
        <w:t>商须对本项目的</w:t>
      </w:r>
      <w:r>
        <w:rPr>
          <w:rFonts w:hint="eastAsia" w:ascii="宋体" w:hAnsi="宋体"/>
          <w:bCs/>
          <w:sz w:val="24"/>
          <w:lang w:val="en-US" w:eastAsia="zh-CN"/>
        </w:rPr>
        <w:t>遴选</w:t>
      </w:r>
      <w:r>
        <w:rPr>
          <w:rFonts w:hint="eastAsia" w:ascii="宋体" w:hAnsi="宋体"/>
          <w:bCs/>
          <w:sz w:val="24"/>
        </w:rPr>
        <w:t>标的进行整体</w:t>
      </w:r>
      <w:r>
        <w:rPr>
          <w:rFonts w:hint="eastAsia" w:ascii="宋体" w:hAnsi="宋体"/>
          <w:bCs/>
          <w:sz w:val="24"/>
          <w:lang w:val="en-US" w:eastAsia="zh-CN"/>
        </w:rPr>
        <w:t>服务</w:t>
      </w:r>
      <w:r>
        <w:rPr>
          <w:rFonts w:hint="eastAsia" w:ascii="宋体" w:hAnsi="宋体"/>
          <w:bCs/>
          <w:sz w:val="24"/>
        </w:rPr>
        <w:t>，任何只对本项目</w:t>
      </w:r>
      <w:r>
        <w:rPr>
          <w:rFonts w:hint="eastAsia" w:ascii="宋体" w:hAnsi="宋体"/>
          <w:bCs/>
          <w:sz w:val="24"/>
          <w:lang w:val="en-US" w:eastAsia="zh-CN"/>
        </w:rPr>
        <w:t>遴选</w:t>
      </w:r>
      <w:r>
        <w:rPr>
          <w:rFonts w:hint="eastAsia" w:ascii="宋体" w:hAnsi="宋体"/>
          <w:bCs/>
          <w:sz w:val="24"/>
        </w:rPr>
        <w:t>标的其中一部分内容、数量进行的</w:t>
      </w:r>
      <w:r>
        <w:rPr>
          <w:rFonts w:hint="eastAsia" w:ascii="宋体" w:hAnsi="宋体"/>
          <w:bCs/>
          <w:sz w:val="24"/>
          <w:lang w:val="en-US" w:eastAsia="zh-CN"/>
        </w:rPr>
        <w:t>服务</w:t>
      </w:r>
      <w:r>
        <w:rPr>
          <w:rFonts w:hint="eastAsia" w:ascii="宋体" w:hAnsi="宋体"/>
          <w:bCs/>
          <w:sz w:val="24"/>
        </w:rPr>
        <w:t>都被视为无效。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2、</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3、</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号条款为重要技术参数，但不作为无效条款。</w:t>
      </w:r>
    </w:p>
    <w:p>
      <w:pPr>
        <w:pStyle w:val="10"/>
        <w:numPr>
          <w:ilvl w:val="0"/>
          <w:numId w:val="0"/>
        </w:numPr>
        <w:tabs>
          <w:tab w:val="left" w:pos="540"/>
        </w:tabs>
        <w:snapToGrid w:val="0"/>
        <w:spacing w:before="120" w:beforeLines="50" w:line="360" w:lineRule="auto"/>
        <w:ind w:leftChars="0"/>
        <w:outlineLvl w:val="1"/>
        <w:rPr>
          <w:rFonts w:hint="eastAsia" w:hAnsi="宋体"/>
          <w:b/>
          <w:sz w:val="24"/>
          <w:szCs w:val="24"/>
        </w:rPr>
      </w:pPr>
    </w:p>
    <w:p>
      <w:pPr>
        <w:pStyle w:val="10"/>
        <w:numPr>
          <w:ilvl w:val="0"/>
          <w:numId w:val="2"/>
        </w:numPr>
        <w:tabs>
          <w:tab w:val="left" w:pos="540"/>
          <w:tab w:val="left" w:pos="993"/>
        </w:tabs>
        <w:snapToGrid w:val="0"/>
        <w:spacing w:line="360" w:lineRule="auto"/>
        <w:rPr>
          <w:rFonts w:hAnsi="宋体"/>
          <w:b/>
          <w:bCs/>
          <w:sz w:val="24"/>
        </w:rPr>
      </w:pPr>
      <w:r>
        <w:rPr>
          <w:rFonts w:hAnsi="宋体"/>
          <w:b/>
          <w:bCs/>
          <w:sz w:val="24"/>
        </w:rPr>
        <w:t>服务范围</w:t>
      </w:r>
      <w:r>
        <w:rPr>
          <w:rFonts w:hint="eastAsia" w:hAnsi="宋体"/>
          <w:b/>
          <w:bCs/>
          <w:sz w:val="24"/>
        </w:rPr>
        <w:t>：</w:t>
      </w:r>
      <w:r>
        <w:rPr>
          <w:rFonts w:hint="eastAsia" w:ascii="宋体" w:hAnsi="宋体" w:eastAsia="宋体"/>
          <w:b/>
          <w:bCs/>
          <w:sz w:val="24"/>
          <w:highlight w:val="none"/>
          <w:lang w:val="en-US" w:eastAsia="zh-CN"/>
        </w:rPr>
        <w:t>BD流式细胞仪</w:t>
      </w:r>
      <w:r>
        <w:rPr>
          <w:rFonts w:hint="eastAsia" w:hAnsi="宋体"/>
          <w:b/>
          <w:bCs/>
          <w:sz w:val="24"/>
          <w:lang w:val="en-US" w:eastAsia="zh-CN"/>
        </w:rPr>
        <w:t>保修服务</w:t>
      </w:r>
      <w:r>
        <w:rPr>
          <w:rFonts w:hint="eastAsia" w:hAnsi="宋体"/>
          <w:b/>
          <w:bCs/>
          <w:sz w:val="24"/>
        </w:rPr>
        <w:t>。</w:t>
      </w:r>
    </w:p>
    <w:p>
      <w:pPr>
        <w:pStyle w:val="10"/>
        <w:numPr>
          <w:ilvl w:val="0"/>
          <w:numId w:val="2"/>
        </w:numPr>
        <w:tabs>
          <w:tab w:val="left" w:pos="540"/>
          <w:tab w:val="left" w:pos="993"/>
        </w:tabs>
        <w:snapToGrid w:val="0"/>
        <w:spacing w:line="360" w:lineRule="auto"/>
        <w:rPr>
          <w:rFonts w:hAnsi="宋体"/>
          <w:b/>
          <w:bCs/>
          <w:sz w:val="24"/>
        </w:rPr>
      </w:pPr>
      <w:r>
        <w:rPr>
          <w:rFonts w:hAnsi="宋体"/>
          <w:b/>
          <w:bCs/>
          <w:sz w:val="24"/>
        </w:rPr>
        <w:t>服务要求</w:t>
      </w:r>
      <w:r>
        <w:rPr>
          <w:rFonts w:hint="eastAsia" w:hAnsi="宋体"/>
          <w:b/>
          <w:bCs/>
          <w:sz w:val="24"/>
        </w:rPr>
        <w:t>：提供服务包含但不限于：安全检查、</w:t>
      </w:r>
      <w:r>
        <w:rPr>
          <w:rFonts w:hint="eastAsia" w:hAnsi="宋体"/>
          <w:b/>
          <w:bCs/>
          <w:sz w:val="24"/>
          <w:lang w:val="en-US" w:eastAsia="zh-CN"/>
        </w:rPr>
        <w:t>图像</w:t>
      </w:r>
      <w:r>
        <w:rPr>
          <w:rFonts w:hint="eastAsia" w:hAnsi="宋体"/>
          <w:b/>
          <w:bCs/>
          <w:sz w:val="24"/>
        </w:rPr>
        <w:t>质量检查、设备除尘保养、运行状态检查，并提供定期维护保养报告。保障设备的正常使用。</w:t>
      </w:r>
    </w:p>
    <w:p>
      <w:pPr>
        <w:pStyle w:val="10"/>
        <w:numPr>
          <w:ilvl w:val="0"/>
          <w:numId w:val="2"/>
        </w:numPr>
        <w:tabs>
          <w:tab w:val="left" w:pos="993"/>
        </w:tabs>
        <w:snapToGrid w:val="0"/>
        <w:spacing w:line="360" w:lineRule="auto"/>
        <w:ind w:hanging="414"/>
        <w:rPr>
          <w:rFonts w:hAnsi="宋体"/>
          <w:b/>
          <w:bCs/>
          <w:sz w:val="24"/>
        </w:rPr>
      </w:pPr>
      <w:r>
        <w:rPr>
          <w:rFonts w:hAnsi="宋体"/>
          <w:b/>
          <w:bCs/>
          <w:sz w:val="24"/>
        </w:rPr>
        <w:t>服务时间</w:t>
      </w:r>
      <w:r>
        <w:rPr>
          <w:rFonts w:hint="eastAsia" w:hAnsi="宋体"/>
          <w:b/>
          <w:bCs/>
          <w:sz w:val="24"/>
        </w:rPr>
        <w:t>（履行期限）：</w:t>
      </w:r>
      <w:r>
        <w:rPr>
          <w:rFonts w:hint="eastAsia" w:hAnsi="宋体"/>
          <w:b/>
          <w:bCs/>
          <w:sz w:val="24"/>
          <w:lang w:val="en-US" w:eastAsia="zh-CN"/>
        </w:rPr>
        <w:t>3</w:t>
      </w:r>
      <w:r>
        <w:rPr>
          <w:rFonts w:hint="eastAsia" w:hAnsi="宋体"/>
          <w:b/>
          <w:bCs/>
          <w:sz w:val="24"/>
        </w:rPr>
        <w:t>年。</w:t>
      </w:r>
    </w:p>
    <w:p>
      <w:pPr>
        <w:pStyle w:val="10"/>
        <w:numPr>
          <w:ilvl w:val="0"/>
          <w:numId w:val="2"/>
        </w:numPr>
        <w:tabs>
          <w:tab w:val="left" w:pos="540"/>
          <w:tab w:val="left" w:pos="993"/>
        </w:tabs>
        <w:snapToGrid w:val="0"/>
        <w:spacing w:line="360" w:lineRule="auto"/>
        <w:rPr>
          <w:rFonts w:hAnsi="宋体"/>
          <w:b/>
          <w:bCs/>
          <w:sz w:val="24"/>
          <w:szCs w:val="24"/>
        </w:rPr>
      </w:pPr>
      <w:r>
        <w:rPr>
          <w:rFonts w:hAnsi="宋体"/>
          <w:b/>
          <w:bCs/>
          <w:sz w:val="24"/>
        </w:rPr>
        <w:t>服务标准</w:t>
      </w:r>
      <w:r>
        <w:rPr>
          <w:rFonts w:hint="eastAsia" w:hAnsi="宋体"/>
          <w:b/>
          <w:bCs/>
          <w:sz w:val="24"/>
        </w:rPr>
        <w:t>：本项目采购人需求提出的是最低限度的要求，</w:t>
      </w:r>
      <w:r>
        <w:rPr>
          <w:rFonts w:hint="eastAsia" w:hAnsi="宋体"/>
          <w:b/>
          <w:bCs/>
          <w:sz w:val="24"/>
          <w:lang w:val="en-US" w:eastAsia="zh-CN"/>
        </w:rPr>
        <w:t>服务供应商</w:t>
      </w:r>
      <w:r>
        <w:rPr>
          <w:rFonts w:hint="eastAsia" w:hAnsi="宋体"/>
          <w:b/>
          <w:bCs/>
          <w:sz w:val="24"/>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tbl>
      <w:tblPr>
        <w:tblStyle w:val="1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0"/>
        <w:gridCol w:w="1126"/>
        <w:gridCol w:w="1925"/>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72"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服务内容</w:t>
            </w:r>
          </w:p>
        </w:tc>
        <w:tc>
          <w:tcPr>
            <w:tcW w:w="575"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数量</w:t>
            </w:r>
          </w:p>
        </w:tc>
        <w:tc>
          <w:tcPr>
            <w:tcW w:w="983"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b/>
                <w:sz w:val="24"/>
              </w:rPr>
              <w:t>最高限价</w:t>
            </w:r>
          </w:p>
          <w:p>
            <w:pPr>
              <w:snapToGrid w:val="0"/>
              <w:jc w:val="center"/>
              <w:rPr>
                <w:rFonts w:ascii="宋体"/>
                <w:b/>
                <w:sz w:val="24"/>
              </w:rPr>
            </w:pPr>
            <w:r>
              <w:rPr>
                <w:rFonts w:hint="eastAsia" w:ascii="宋体"/>
                <w:b/>
                <w:sz w:val="24"/>
              </w:rPr>
              <w:t>（人民币  元）</w:t>
            </w:r>
          </w:p>
        </w:tc>
        <w:tc>
          <w:tcPr>
            <w:tcW w:w="1168"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hAnsi="宋体"/>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72" w:type="pct"/>
            <w:tcBorders>
              <w:bottom w:val="single" w:color="auto" w:sz="12" w:space="0"/>
            </w:tcBorders>
            <w:vAlign w:val="center"/>
          </w:tcPr>
          <w:p>
            <w:pPr>
              <w:widowControl/>
              <w:jc w:val="center"/>
              <w:rPr>
                <w:rFonts w:hint="default" w:ascii="宋体" w:eastAsia="宋体"/>
                <w:bCs/>
                <w:sz w:val="24"/>
                <w:lang w:val="en-US" w:eastAsia="zh-CN"/>
              </w:rPr>
            </w:pPr>
            <w:r>
              <w:rPr>
                <w:rFonts w:hint="eastAsia" w:ascii="微软雅黑" w:hAnsi="微软雅黑" w:eastAsia="微软雅黑" w:cs="微软雅黑"/>
                <w:color w:val="000000"/>
                <w:sz w:val="32"/>
                <w:szCs w:val="32"/>
                <w:lang w:val="en-US" w:eastAsia="zh-CN" w:bidi="ar"/>
              </w:rPr>
              <w:t>BD流式细胞仪保修服务</w:t>
            </w:r>
          </w:p>
        </w:tc>
        <w:tc>
          <w:tcPr>
            <w:tcW w:w="575" w:type="pct"/>
            <w:tcBorders>
              <w:bottom w:val="single" w:color="auto" w:sz="12" w:space="0"/>
            </w:tcBorders>
            <w:vAlign w:val="center"/>
          </w:tcPr>
          <w:p>
            <w:pPr>
              <w:snapToGrid w:val="0"/>
              <w:jc w:val="center"/>
              <w:rPr>
                <w:rFonts w:ascii="宋体"/>
                <w:bCs/>
                <w:sz w:val="24"/>
              </w:rPr>
            </w:pPr>
            <w:r>
              <w:rPr>
                <w:rFonts w:hint="eastAsia" w:ascii="微软雅黑" w:hAnsi="微软雅黑" w:eastAsia="微软雅黑" w:cs="微软雅黑"/>
                <w:color w:val="000000"/>
                <w:sz w:val="32"/>
                <w:szCs w:val="32"/>
                <w:lang w:val="en-US" w:eastAsia="zh-CN" w:bidi="ar"/>
              </w:rPr>
              <w:t>1台</w:t>
            </w:r>
          </w:p>
        </w:tc>
        <w:tc>
          <w:tcPr>
            <w:tcW w:w="983" w:type="pct"/>
            <w:tcBorders>
              <w:bottom w:val="single" w:color="auto" w:sz="12" w:space="0"/>
              <w:right w:val="single" w:color="auto" w:sz="4" w:space="0"/>
            </w:tcBorders>
            <w:vAlign w:val="center"/>
          </w:tcPr>
          <w:p>
            <w:pPr>
              <w:widowControl/>
              <w:jc w:val="center"/>
              <w:rPr>
                <w:rFonts w:hint="default" w:ascii="宋体" w:hAnsi="宋体" w:eastAsia="宋体"/>
                <w:snapToGrid/>
                <w:spacing w:val="0"/>
                <w:kern w:val="2"/>
                <w:szCs w:val="24"/>
                <w:lang w:val="en-US" w:eastAsia="zh-CN"/>
              </w:rPr>
            </w:pPr>
            <w:r>
              <w:rPr>
                <w:rFonts w:hint="eastAsia" w:ascii="微软雅黑" w:hAnsi="微软雅黑" w:eastAsia="微软雅黑" w:cs="微软雅黑"/>
                <w:color w:val="000000"/>
                <w:sz w:val="32"/>
                <w:szCs w:val="32"/>
                <w:lang w:val="en-US" w:eastAsia="zh-CN" w:bidi="ar"/>
              </w:rPr>
              <w:t>60万</w:t>
            </w:r>
          </w:p>
        </w:tc>
        <w:tc>
          <w:tcPr>
            <w:tcW w:w="1168" w:type="pct"/>
            <w:tcBorders>
              <w:bottom w:val="single" w:color="auto" w:sz="12" w:space="0"/>
              <w:right w:val="single" w:color="auto" w:sz="4" w:space="0"/>
            </w:tcBorders>
            <w:vAlign w:val="center"/>
          </w:tcPr>
          <w:p>
            <w:pPr>
              <w:pStyle w:val="29"/>
              <w:snapToGrid w:val="0"/>
              <w:spacing w:before="0" w:after="0" w:line="240" w:lineRule="auto"/>
              <w:jc w:val="center"/>
              <w:rPr>
                <w:rFonts w:ascii="宋体" w:hAnsi="宋体"/>
                <w:snapToGrid/>
                <w:spacing w:val="0"/>
                <w:kern w:val="2"/>
                <w:szCs w:val="24"/>
              </w:rPr>
            </w:pPr>
            <w:r>
              <w:rPr>
                <w:rFonts w:hint="eastAsia" w:ascii="宋体" w:hAnsi="宋体"/>
                <w:snapToGrid/>
                <w:spacing w:val="0"/>
                <w:kern w:val="2"/>
                <w:szCs w:val="24"/>
              </w:rPr>
              <w:t>其他未列明行业</w:t>
            </w:r>
          </w:p>
        </w:tc>
      </w:tr>
    </w:tbl>
    <w:p>
      <w:pPr>
        <w:pStyle w:val="6"/>
        <w:rPr>
          <w:rFonts w:hint="eastAsia"/>
          <w:lang w:val="en-US" w:eastAsia="zh-CN"/>
        </w:rPr>
      </w:pP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1.保修设备：</w:t>
      </w:r>
      <w:r>
        <w:rPr>
          <w:rFonts w:hint="eastAsia" w:asciiTheme="minorEastAsia" w:hAnsiTheme="minorEastAsia" w:eastAsiaTheme="minorEastAsia" w:cstheme="minorEastAsia"/>
          <w:sz w:val="24"/>
          <w:szCs w:val="24"/>
          <w:lang w:val="en-US" w:eastAsia="zh-CN"/>
        </w:rPr>
        <w:t>BD流式细胞仪</w:t>
      </w:r>
      <w:r>
        <w:rPr>
          <w:rFonts w:hint="eastAsia" w:asciiTheme="minorEastAsia" w:hAnsiTheme="minorEastAsia" w:eastAsiaTheme="minorEastAsia" w:cstheme="minorEastAsia"/>
          <w:sz w:val="24"/>
          <w:szCs w:val="24"/>
        </w:rPr>
        <w:t>，配置如下表</w:t>
      </w:r>
    </w:p>
    <w:tbl>
      <w:tblPr>
        <w:tblStyle w:val="1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5"/>
        <w:gridCol w:w="295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5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sz w:val="24"/>
                <w:szCs w:val="24"/>
              </w:rPr>
            </w:pPr>
            <w:r>
              <w:rPr>
                <w:rFonts w:hint="eastAsia" w:ascii="宋体" w:hAnsi="宋体" w:eastAsia="宋体" w:cs="宋体"/>
                <w:i w:val="0"/>
                <w:iCs w:val="0"/>
                <w:color w:val="333333"/>
                <w:kern w:val="0"/>
                <w:sz w:val="24"/>
                <w:szCs w:val="24"/>
                <w:u w:val="none"/>
                <w:lang w:val="en-US" w:eastAsia="zh-CN" w:bidi="ar"/>
              </w:rPr>
              <w:t>设</w:t>
            </w:r>
            <w:r>
              <w:rPr>
                <w:rStyle w:val="43"/>
                <w:lang w:val="en-US" w:eastAsia="zh-CN" w:bidi="ar"/>
              </w:rPr>
              <w:t>备型号</w:t>
            </w:r>
          </w:p>
        </w:tc>
        <w:tc>
          <w:tcPr>
            <w:tcW w:w="295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sz w:val="24"/>
                <w:szCs w:val="24"/>
                <w:lang w:eastAsia="zh-CN"/>
              </w:rPr>
            </w:pPr>
            <w:r>
              <w:rPr>
                <w:rFonts w:hint="eastAsia" w:ascii="宋体" w:hAnsi="宋体" w:eastAsia="宋体" w:cs="宋体"/>
                <w:i w:val="0"/>
                <w:iCs w:val="0"/>
                <w:color w:val="333333"/>
                <w:kern w:val="0"/>
                <w:sz w:val="24"/>
                <w:szCs w:val="24"/>
                <w:u w:val="none"/>
                <w:lang w:val="en-US" w:eastAsia="zh-CN" w:bidi="ar"/>
              </w:rPr>
              <w:t>设备序列号</w:t>
            </w:r>
          </w:p>
        </w:tc>
        <w:tc>
          <w:tcPr>
            <w:tcW w:w="2295"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kern w:val="2"/>
                <w:sz w:val="24"/>
                <w:szCs w:val="24"/>
                <w:lang w:val="en-US" w:eastAsia="zh-CN" w:bidi="ar-SA"/>
              </w:rPr>
            </w:pPr>
            <w:r>
              <w:rPr>
                <w:rFonts w:hint="eastAsia" w:ascii="宋体" w:hAnsi="宋体" w:eastAsia="宋体" w:cs="宋体"/>
                <w:i w:val="0"/>
                <w:iCs w:val="0"/>
                <w:color w:val="333333"/>
                <w:kern w:val="0"/>
                <w:sz w:val="24"/>
                <w:szCs w:val="24"/>
                <w:u w:val="none"/>
                <w:lang w:val="en-US" w:eastAsia="zh-CN" w:bidi="ar"/>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555" w:type="dxa"/>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pPr>
            <w:r>
              <w:rPr>
                <w:rFonts w:hint="eastAsia" w:ascii="宋体" w:hAnsi="宋体" w:eastAsia="宋体" w:cs="宋体"/>
                <w:i w:val="0"/>
                <w:iCs w:val="0"/>
                <w:color w:val="000000"/>
                <w:kern w:val="0"/>
                <w:sz w:val="22"/>
                <w:szCs w:val="22"/>
                <w:u w:val="none"/>
                <w:lang w:val="en-US" w:eastAsia="zh-CN" w:bidi="ar"/>
              </w:rPr>
              <w:t>流式细胞仪LSRFortessa X-20</w:t>
            </w:r>
          </w:p>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sz w:val="24"/>
                <w:szCs w:val="24"/>
                <w:lang w:val="en-US" w:eastAsia="zh-CN"/>
              </w:rPr>
            </w:pPr>
          </w:p>
        </w:tc>
        <w:tc>
          <w:tcPr>
            <w:tcW w:w="2955" w:type="dxa"/>
            <w:tcBorders>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R65742703003</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sz w:val="24"/>
                <w:szCs w:val="24"/>
                <w:lang w:val="en-US" w:eastAsia="zh-CN"/>
              </w:rPr>
            </w:pPr>
            <w:r>
              <w:rPr>
                <w:rFonts w:hint="eastAsia" w:ascii="宋体" w:hAnsi="宋体" w:eastAsia="宋体" w:cs="宋体"/>
                <w:i w:val="0"/>
                <w:iCs w:val="0"/>
                <w:color w:val="000000"/>
                <w:kern w:val="0"/>
                <w:sz w:val="22"/>
                <w:szCs w:val="22"/>
                <w:u w:val="none"/>
                <w:lang w:val="en-US" w:eastAsia="zh-CN" w:bidi="ar"/>
              </w:rPr>
              <w:t>三年全机保修服务</w:t>
            </w:r>
          </w:p>
        </w:tc>
      </w:tr>
    </w:tbl>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2.服务范围：</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(1)整机保修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涵盖上述设备主机以及</w:t>
      </w:r>
      <w:r>
        <w:rPr>
          <w:rFonts w:hint="eastAsia" w:asciiTheme="minorEastAsia" w:hAnsiTheme="minorEastAsia" w:eastAsiaTheme="minorEastAsia" w:cstheme="minorEastAsia"/>
          <w:sz w:val="24"/>
          <w:szCs w:val="24"/>
          <w:lang w:val="en-US" w:eastAsia="zh-CN"/>
        </w:rPr>
        <w:t>激光器</w:t>
      </w:r>
      <w:r>
        <w:rPr>
          <w:rFonts w:hint="eastAsia" w:asciiTheme="minorEastAsia" w:hAnsiTheme="minorEastAsia" w:eastAsiaTheme="minorEastAsia" w:cstheme="minorEastAsia"/>
          <w:sz w:val="24"/>
          <w:szCs w:val="24"/>
        </w:rPr>
        <w:t>的整机保修，免费升级更新，质量监控监测，零备件的更换，日常保养维护。</w:t>
      </w:r>
    </w:p>
    <w:p>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(2)保修期内</w:t>
      </w:r>
      <w:r>
        <w:rPr>
          <w:rFonts w:hint="eastAsia" w:asciiTheme="minorEastAsia" w:hAnsiTheme="minorEastAsia" w:eastAsiaTheme="minorEastAsia" w:cstheme="minorEastAsia"/>
          <w:sz w:val="24"/>
          <w:szCs w:val="24"/>
          <w:lang w:val="en-US" w:eastAsia="zh-CN"/>
        </w:rPr>
        <w:t>激光器</w:t>
      </w:r>
      <w:r>
        <w:rPr>
          <w:rFonts w:hint="eastAsia" w:asciiTheme="minorEastAsia" w:hAnsiTheme="minorEastAsia" w:eastAsiaTheme="minorEastAsia" w:cstheme="minorEastAsia"/>
          <w:sz w:val="24"/>
          <w:szCs w:val="24"/>
        </w:rPr>
        <w:t>故障更换合法原厂全新</w:t>
      </w:r>
      <w:r>
        <w:rPr>
          <w:rFonts w:hint="eastAsia" w:asciiTheme="minorEastAsia" w:hAnsiTheme="minorEastAsia" w:eastAsiaTheme="minorEastAsia" w:cstheme="minorEastAsia"/>
          <w:sz w:val="24"/>
          <w:szCs w:val="24"/>
          <w:lang w:val="en-US" w:eastAsia="zh-CN"/>
        </w:rPr>
        <w:t>激光器</w:t>
      </w:r>
      <w:r>
        <w:rPr>
          <w:rFonts w:hint="eastAsia" w:asciiTheme="minorEastAsia" w:hAnsiTheme="minorEastAsia" w:eastAsiaTheme="minorEastAsia" w:cstheme="minorEastAsia"/>
          <w:sz w:val="24"/>
          <w:szCs w:val="24"/>
        </w:rPr>
        <w:t>，主机故障不限次维修及故障备件更换。</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服务期限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叁</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.服务地点：采购人指定地点。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p>
    <w:p>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1.服务供应商具备专业服务团队。拥有至少2名具备原厂培训资质的工程师。为保证工程师的及时到达现场并提供有效的维修服务，服务供应商至少指定1名工程师负责本项目，同时提供2位原厂工程师进行相应的技术支持。（遴选文件中提供工程师名单、原厂工程师培训证书）</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▲2.提供24小时400或800免费维修服务热线，产品技术专家提供在线技术咨询和维修诊断。</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 xml:space="preserve">  3.设备发生故障时，初次响应时间：4小时，并提供电话技术支持。现场响应时间：第二个工作日内到达设备使用现场进行故障排查及维修。</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4.工程师一年应至少免费上门2次对仪器进行检查，且至少1次按照PMI（预防性维护指导）要求对仪器系统检查，更换年度保养包并出具维修报告。</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 xml:space="preserve">  5.提供无限次上门维修服务，含维修人员的工时费、差旅费（相关费用由服务供应商自行承担）。</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 xml:space="preserve">  6. 在合同期内因故障而需更换的备件，不受数量限制。</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▲7.维修所采用的全部备件，均可出示原厂检测合格证书以及中国海关总署出示的合法进口货物报关单；其中的激光器属于关键备件；所有备件可通过原厂400或800热线进行的备件信息查询。</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▲8.保证所保设备全年工作日的开机率≥95%</w:t>
      </w:r>
      <w:r>
        <w:rPr>
          <w:rFonts w:hint="eastAsia" w:hAnsi="宋体"/>
          <w:sz w:val="24"/>
          <w:lang w:eastAsia="zh-CN"/>
        </w:rPr>
        <w:t>，</w:t>
      </w:r>
      <w:r>
        <w:rPr>
          <w:rFonts w:hint="eastAsia" w:ascii="宋体" w:hAnsi="宋体" w:eastAsia="宋体"/>
          <w:sz w:val="24"/>
          <w:lang w:val="en-US" w:eastAsia="zh-CN"/>
        </w:rPr>
        <w:t>按照一年365天计算, 未达到的天数，按1:2比例顺延保修期时间</w:t>
      </w:r>
      <w:r>
        <w:rPr>
          <w:rFonts w:hint="eastAsia" w:ascii="宋体" w:hAnsi="宋体" w:eastAsia="宋体"/>
          <w:sz w:val="24"/>
        </w:rPr>
        <w:t>。</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 xml:space="preserve">  9.合同期内，免费提供设备的改良性软件系统升级（非功能性软件升级）。</w:t>
      </w:r>
    </w:p>
    <w:p>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▲10.每年度服务结束后应提交年度服务报告，包括维修情况、服务总结、设备运行情况分析、设备存在问题及建议等。</w:t>
      </w:r>
    </w:p>
    <w:p>
      <w:pPr>
        <w:pStyle w:val="10"/>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五、商务要求：</w:t>
      </w:r>
    </w:p>
    <w:p>
      <w:pPr>
        <w:pStyle w:val="10"/>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付款及结算方式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本合同分四期付款，第一期款在乙方修复现有故障后，甲方收到结算资料审核确认无误后，于5个工作日内开始办理支付手续，向乙方支付</w:t>
      </w:r>
      <w:r>
        <w:rPr>
          <w:rFonts w:hint="eastAsia" w:asciiTheme="minorEastAsia" w:hAnsiTheme="minorEastAsia" w:eastAsiaTheme="minorEastAsia" w:cstheme="minorEastAsia"/>
          <w:sz w:val="24"/>
          <w:szCs w:val="24"/>
        </w:rPr>
        <w:t>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val="en-US" w:eastAsia="zh-CN"/>
        </w:rPr>
        <w:t>第二期款在合同期满一年，甲方收到结算资料审核确认无误后，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第三期款在合同期满两年，甲方收到结算资料审核确认无误后，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第四期款在合同期结束后甲方收到结算资料审核确认无误后，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%】款人民币******元整(¥******元)。</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（2）服务供应商开具的正式发票；</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（4）遴选结果通知书； </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（5）本期款内的维修保养报告。</w:t>
      </w:r>
    </w:p>
    <w:p>
      <w:pPr>
        <w:pStyle w:val="10"/>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pPr>
        <w:pStyle w:val="28"/>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pPr>
        <w:pStyle w:val="28"/>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pPr>
        <w:pStyle w:val="28"/>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pPr>
        <w:pStyle w:val="28"/>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autoSpaceDE w:val="0"/>
        <w:autoSpaceDN w:val="0"/>
        <w:spacing w:line="360" w:lineRule="auto"/>
        <w:jc w:val="left"/>
        <w:rPr>
          <w:rFonts w:hint="eastAsia" w:ascii="宋体" w:hAnsi="宋体" w:cs="宋体"/>
          <w:b/>
          <w:sz w:val="28"/>
          <w:szCs w:val="28"/>
        </w:rPr>
      </w:pPr>
    </w:p>
    <w:p>
      <w:pPr>
        <w:autoSpaceDE w:val="0"/>
        <w:autoSpaceDN w:val="0"/>
        <w:spacing w:line="360" w:lineRule="auto"/>
        <w:jc w:val="left"/>
        <w:rPr>
          <w:rFonts w:hint="eastAsia" w:ascii="宋体" w:hAnsi="宋体" w:cs="宋体"/>
          <w:b/>
          <w:sz w:val="28"/>
          <w:szCs w:val="28"/>
        </w:rPr>
      </w:pPr>
    </w:p>
    <w:p>
      <w:pPr>
        <w:autoSpaceDE w:val="0"/>
        <w:autoSpaceDN w:val="0"/>
        <w:spacing w:line="360" w:lineRule="auto"/>
        <w:jc w:val="left"/>
        <w:rPr>
          <w:rFonts w:hint="eastAsia" w:ascii="宋体" w:hAnsi="宋体" w:cs="宋体"/>
          <w:b/>
          <w:sz w:val="28"/>
          <w:szCs w:val="28"/>
        </w:rPr>
      </w:pPr>
    </w:p>
    <w:p>
      <w:pPr>
        <w:autoSpaceDE w:val="0"/>
        <w:autoSpaceDN w:val="0"/>
        <w:spacing w:line="360" w:lineRule="auto"/>
        <w:jc w:val="left"/>
        <w:rPr>
          <w:rFonts w:hint="eastAsia" w:ascii="宋体" w:hAnsi="宋体" w:cs="宋体"/>
          <w:b/>
          <w:sz w:val="28"/>
          <w:szCs w:val="28"/>
        </w:rPr>
      </w:pPr>
    </w:p>
    <w:p>
      <w:pPr>
        <w:autoSpaceDE w:val="0"/>
        <w:autoSpaceDN w:val="0"/>
        <w:spacing w:line="360" w:lineRule="auto"/>
        <w:jc w:val="left"/>
        <w:rPr>
          <w:rFonts w:hint="eastAsia" w:ascii="宋体" w:hAnsi="宋体" w:cs="宋体"/>
          <w:b/>
          <w:sz w:val="28"/>
          <w:szCs w:val="28"/>
        </w:rPr>
      </w:pPr>
    </w:p>
    <w:p>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pPr>
        <w:autoSpaceDE w:val="0"/>
        <w:autoSpaceDN w:val="0"/>
        <w:spacing w:line="360" w:lineRule="auto"/>
        <w:jc w:val="center"/>
        <w:rPr>
          <w:rFonts w:ascii="宋体" w:hAnsi="宋体" w:cs="宋体"/>
          <w:b/>
          <w:sz w:val="44"/>
          <w:szCs w:val="4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采购项目名称：</w:t>
      </w:r>
      <w:r>
        <w:rPr>
          <w:rFonts w:hint="eastAsia" w:ascii="宋体" w:hAnsi="宋体" w:cs="宋体"/>
          <w:b/>
          <w:sz w:val="28"/>
          <w:szCs w:val="28"/>
          <w:u w:val="thick"/>
          <w:lang w:val="en-US" w:eastAsia="zh-CN"/>
        </w:rPr>
        <w:t>广州医科大学附属妇女儿童医疗中心BD流式细胞仪保修</w:t>
      </w:r>
      <w:r>
        <w:rPr>
          <w:rFonts w:hint="eastAsia" w:ascii="宋体" w:hAnsi="宋体" w:cs="宋体"/>
          <w:b/>
          <w:sz w:val="28"/>
          <w:szCs w:val="28"/>
          <w:u w:val="thick"/>
        </w:rPr>
        <w:t>服务</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pPr>
        <w:rPr>
          <w:rFonts w:ascii="宋体" w:hAnsi="宋体" w:cs="宋体"/>
          <w:b/>
          <w:sz w:val="28"/>
          <w:szCs w:val="28"/>
        </w:rPr>
      </w:pPr>
      <w:r>
        <w:rPr>
          <w:rFonts w:hint="eastAsia" w:ascii="宋体" w:hAnsi="宋体" w:cs="宋体"/>
          <w:b/>
          <w:sz w:val="28"/>
          <w:szCs w:val="28"/>
        </w:rPr>
        <w:br w:type="page"/>
      </w:r>
    </w:p>
    <w:p>
      <w:pPr>
        <w:keepNext w:val="0"/>
        <w:keepLines w:val="0"/>
        <w:pageBreakBefore w:val="0"/>
        <w:widowControl w:val="0"/>
        <w:numPr>
          <w:ilvl w:val="0"/>
          <w:numId w:val="6"/>
        </w:numPr>
        <w:kinsoku/>
        <w:wordWrap/>
        <w:overflowPunct/>
        <w:topLinePunct w:val="0"/>
        <w:bidi w:val="0"/>
        <w:adjustRightInd w:val="0"/>
        <w:snapToGrid/>
        <w:spacing w:beforeAutospacing="0" w:line="480" w:lineRule="auto"/>
        <w:jc w:val="center"/>
        <w:textAlignment w:val="baseline"/>
        <w:rPr>
          <w:rFonts w:hint="eastAsia" w:ascii="宋体" w:hAnsi="宋体" w:cs="宋体"/>
          <w:b/>
          <w:sz w:val="32"/>
          <w:szCs w:val="32"/>
          <w:lang w:val="en-US" w:eastAsia="zh-CN"/>
        </w:rPr>
      </w:pPr>
      <w:r>
        <w:rPr>
          <w:rFonts w:hint="eastAsia" w:ascii="宋体" w:hAnsi="宋体" w:cs="宋体"/>
          <w:b/>
          <w:sz w:val="32"/>
          <w:szCs w:val="32"/>
          <w:lang w:val="en-US" w:eastAsia="zh-CN"/>
        </w:rPr>
        <w:t>医疗设备保修服务综合评分表</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baseline"/>
        <w:rPr>
          <w:rFonts w:hint="eastAsia" w:ascii="宋体" w:hAnsi="宋体" w:cs="宋体"/>
          <w:sz w:val="24"/>
          <w:szCs w:val="24"/>
          <w:lang w:eastAsia="zh-CN"/>
        </w:rPr>
      </w:pPr>
      <w:r>
        <w:rPr>
          <w:rFonts w:hint="eastAsia" w:ascii="宋体" w:hAnsi="宋体" w:cs="宋体"/>
          <w:sz w:val="24"/>
          <w:szCs w:val="24"/>
          <w:lang w:val="en-US" w:eastAsia="zh-CN"/>
        </w:rPr>
        <w:t>采购项目名称：BD流式细胞仪保修</w:t>
      </w:r>
      <w:r>
        <w:rPr>
          <w:rFonts w:hint="eastAsia" w:ascii="宋体" w:hAnsi="宋体" w:cs="宋体"/>
          <w:sz w:val="24"/>
          <w:szCs w:val="24"/>
          <w:lang w:eastAsia="zh-CN"/>
        </w:rPr>
        <w:t>服务</w:t>
      </w:r>
    </w:p>
    <w:tbl>
      <w:tblPr>
        <w:tblStyle w:val="19"/>
        <w:tblW w:w="962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117"/>
        <w:gridCol w:w="1890"/>
        <w:gridCol w:w="2062"/>
        <w:gridCol w:w="2063"/>
        <w:gridCol w:w="1095"/>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trPr>
        <w:tc>
          <w:tcPr>
            <w:tcW w:w="1117" w:type="dxa"/>
            <w:tcBorders>
              <w:top w:val="single" w:color="auto" w:sz="12" w:space="0"/>
              <w:bottom w:val="single" w:color="auto" w:sz="6" w:space="0"/>
            </w:tcBorders>
            <w:noWrap w:val="0"/>
            <w:vAlign w:val="center"/>
          </w:tcPr>
          <w:p>
            <w:pPr>
              <w:snapToGrid w:val="0"/>
              <w:spacing w:before="120" w:beforeLines="50" w:line="360" w:lineRule="auto"/>
              <w:jc w:val="center"/>
              <w:rPr>
                <w:rFonts w:hint="eastAsia" w:ascii="宋体" w:hAnsi="宋体"/>
                <w:b/>
                <w:szCs w:val="21"/>
              </w:rPr>
            </w:pPr>
            <w:r>
              <w:rPr>
                <w:rFonts w:hint="eastAsia" w:ascii="宋体" w:hAnsi="宋体"/>
                <w:b/>
                <w:szCs w:val="21"/>
                <w:lang w:val="en-US" w:eastAsia="zh-CN"/>
              </w:rPr>
              <w:t>评标指标</w:t>
            </w:r>
          </w:p>
        </w:tc>
        <w:tc>
          <w:tcPr>
            <w:tcW w:w="1890" w:type="dxa"/>
            <w:tcBorders>
              <w:top w:val="single" w:color="auto" w:sz="12" w:space="0"/>
              <w:bottom w:val="single" w:color="auto" w:sz="6" w:space="0"/>
            </w:tcBorders>
            <w:noWrap w:val="0"/>
            <w:vAlign w:val="center"/>
          </w:tcPr>
          <w:p>
            <w:pPr>
              <w:snapToGrid w:val="0"/>
              <w:spacing w:before="120" w:beforeLines="50" w:line="360" w:lineRule="auto"/>
              <w:jc w:val="center"/>
              <w:rPr>
                <w:rFonts w:hint="eastAsia" w:ascii="宋体" w:hAnsi="宋体"/>
                <w:b/>
                <w:szCs w:val="21"/>
              </w:rPr>
            </w:pPr>
            <w:r>
              <w:rPr>
                <w:rFonts w:hint="eastAsia" w:ascii="宋体" w:hAnsi="宋体"/>
                <w:b/>
                <w:szCs w:val="21"/>
              </w:rPr>
              <w:t>评审项目</w:t>
            </w:r>
          </w:p>
        </w:tc>
        <w:tc>
          <w:tcPr>
            <w:tcW w:w="4125" w:type="dxa"/>
            <w:gridSpan w:val="2"/>
            <w:tcBorders>
              <w:top w:val="single" w:color="auto" w:sz="12" w:space="0"/>
              <w:bottom w:val="single" w:color="auto" w:sz="6" w:space="0"/>
            </w:tcBorders>
            <w:noWrap w:val="0"/>
            <w:vAlign w:val="center"/>
          </w:tcPr>
          <w:p>
            <w:pPr>
              <w:snapToGrid w:val="0"/>
              <w:spacing w:before="120" w:beforeLines="50" w:line="360" w:lineRule="auto"/>
              <w:jc w:val="center"/>
              <w:rPr>
                <w:rFonts w:hint="eastAsia" w:ascii="宋体" w:hAnsi="宋体"/>
                <w:b/>
                <w:szCs w:val="21"/>
              </w:rPr>
            </w:pPr>
            <w:r>
              <w:rPr>
                <w:rFonts w:hint="eastAsia" w:ascii="宋体" w:hAnsi="宋体"/>
                <w:b/>
                <w:szCs w:val="21"/>
              </w:rPr>
              <w:t>评分标准</w:t>
            </w:r>
          </w:p>
        </w:tc>
        <w:tc>
          <w:tcPr>
            <w:tcW w:w="1095" w:type="dxa"/>
            <w:tcBorders>
              <w:top w:val="single" w:color="auto" w:sz="12" w:space="0"/>
              <w:bottom w:val="single" w:color="auto" w:sz="6" w:space="0"/>
            </w:tcBorders>
            <w:noWrap w:val="0"/>
            <w:vAlign w:val="center"/>
          </w:tcPr>
          <w:p>
            <w:pPr>
              <w:snapToGrid w:val="0"/>
              <w:spacing w:before="120" w:beforeLines="50" w:line="360" w:lineRule="auto"/>
              <w:jc w:val="center"/>
              <w:rPr>
                <w:rFonts w:hint="eastAsia" w:ascii="宋体" w:hAnsi="宋体"/>
                <w:b/>
                <w:szCs w:val="21"/>
              </w:rPr>
            </w:pPr>
            <w:r>
              <w:rPr>
                <w:rFonts w:hint="eastAsia" w:ascii="宋体" w:hAnsi="宋体"/>
                <w:b/>
                <w:szCs w:val="21"/>
              </w:rPr>
              <w:t>分值</w:t>
            </w:r>
          </w:p>
        </w:tc>
        <w:tc>
          <w:tcPr>
            <w:tcW w:w="1395" w:type="dxa"/>
            <w:tcBorders>
              <w:top w:val="single" w:color="auto" w:sz="12" w:space="0"/>
              <w:bottom w:val="single" w:color="auto" w:sz="6" w:space="0"/>
            </w:tcBorders>
            <w:noWrap w:val="0"/>
            <w:vAlign w:val="center"/>
          </w:tcPr>
          <w:p>
            <w:pPr>
              <w:snapToGrid w:val="0"/>
              <w:spacing w:before="120" w:beforeLines="50" w:line="360" w:lineRule="auto"/>
              <w:jc w:val="center"/>
              <w:rPr>
                <w:rFonts w:hint="eastAsia" w:ascii="宋体" w:hAnsi="宋体"/>
                <w:b/>
                <w:szCs w:val="21"/>
              </w:rPr>
            </w:pPr>
            <w:r>
              <w:rPr>
                <w:rFonts w:hint="eastAsia" w:ascii="宋体" w:hAnsi="宋体"/>
                <w:b/>
                <w:szCs w:val="21"/>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restart"/>
            <w:noWrap w:val="0"/>
            <w:vAlign w:val="center"/>
          </w:tcPr>
          <w:p>
            <w:pPr>
              <w:spacing w:before="120" w:beforeLines="50" w:line="360" w:lineRule="auto"/>
              <w:jc w:val="center"/>
              <w:rPr>
                <w:rFonts w:hint="eastAsia" w:ascii="宋体" w:hAnsi="宋体" w:eastAsia="宋体"/>
                <w:bCs/>
                <w:szCs w:val="21"/>
                <w:lang w:val="en-US" w:eastAsia="zh-CN"/>
              </w:rPr>
            </w:pPr>
            <w:r>
              <w:rPr>
                <w:rFonts w:hint="eastAsia" w:ascii="宋体" w:hAnsi="宋体"/>
                <w:bCs/>
                <w:szCs w:val="21"/>
                <w:lang w:val="en-US" w:eastAsia="zh-CN"/>
              </w:rPr>
              <w:t>商务（总分20）</w:t>
            </w:r>
          </w:p>
        </w:tc>
        <w:tc>
          <w:tcPr>
            <w:tcW w:w="1890" w:type="dxa"/>
            <w:noWrap w:val="0"/>
            <w:vAlign w:val="center"/>
          </w:tcPr>
          <w:p>
            <w:pPr>
              <w:spacing w:before="120" w:beforeLines="50" w:line="360" w:lineRule="auto"/>
              <w:jc w:val="center"/>
              <w:rPr>
                <w:rFonts w:hint="eastAsia" w:ascii="宋体" w:hAnsi="宋体"/>
                <w:szCs w:val="21"/>
              </w:rPr>
            </w:pPr>
            <w:r>
              <w:rPr>
                <w:rFonts w:hint="eastAsia" w:ascii="宋体" w:hAnsi="宋体"/>
                <w:kern w:val="0"/>
                <w:szCs w:val="21"/>
              </w:rPr>
              <w:t>合同条款的响应性</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根据服务供应商对合同条款的响应情况进行评价：完全响应得6分；部分负偏离或未响应得0分。</w:t>
            </w:r>
          </w:p>
        </w:tc>
        <w:tc>
          <w:tcPr>
            <w:tcW w:w="1095" w:type="dxa"/>
            <w:noWrap w:val="0"/>
            <w:vAlign w:val="center"/>
          </w:tcPr>
          <w:p>
            <w:pPr>
              <w:snapToGrid w:val="0"/>
              <w:spacing w:before="50" w:line="360" w:lineRule="auto"/>
              <w:jc w:val="center"/>
              <w:rPr>
                <w:rFonts w:hint="default" w:ascii="宋体" w:hAnsi="宋体" w:eastAsia="宋体"/>
                <w:kern w:val="0"/>
                <w:szCs w:val="21"/>
                <w:lang w:val="en-US" w:eastAsia="zh-CN"/>
              </w:rPr>
            </w:pPr>
            <w:r>
              <w:rPr>
                <w:rFonts w:hint="eastAsia" w:ascii="宋体" w:hAnsi="宋体"/>
                <w:kern w:val="0"/>
                <w:szCs w:val="21"/>
                <w:lang w:val="en-US" w:eastAsia="zh-CN"/>
              </w:rPr>
              <w:t>6</w:t>
            </w:r>
          </w:p>
        </w:tc>
        <w:tc>
          <w:tcPr>
            <w:tcW w:w="1395" w:type="dxa"/>
            <w:noWrap w:val="0"/>
            <w:vAlign w:val="center"/>
          </w:tcPr>
          <w:p>
            <w:pPr>
              <w:snapToGrid w:val="0"/>
              <w:spacing w:line="360" w:lineRule="auto"/>
              <w:ind w:left="20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pPr>
              <w:snapToGrid w:val="0"/>
              <w:spacing w:before="120" w:beforeLines="50" w:line="360" w:lineRule="auto"/>
              <w:jc w:val="center"/>
              <w:rPr>
                <w:rFonts w:ascii="宋体" w:hAnsi="宋体"/>
                <w:szCs w:val="21"/>
              </w:rPr>
            </w:pPr>
          </w:p>
        </w:tc>
        <w:tc>
          <w:tcPr>
            <w:tcW w:w="1890" w:type="dxa"/>
            <w:noWrap w:val="0"/>
            <w:vAlign w:val="center"/>
          </w:tcPr>
          <w:p>
            <w:pPr>
              <w:snapToGrid w:val="0"/>
              <w:spacing w:before="120" w:beforeLines="50" w:line="360" w:lineRule="auto"/>
              <w:jc w:val="center"/>
              <w:rPr>
                <w:rFonts w:ascii="宋体"/>
                <w:szCs w:val="21"/>
              </w:rPr>
            </w:pPr>
            <w:r>
              <w:rPr>
                <w:rFonts w:hint="eastAsia" w:ascii="宋体" w:hAnsi="宋体"/>
                <w:bCs/>
                <w:szCs w:val="21"/>
              </w:rPr>
              <w:t>同类项目业绩</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服务供应商提供2020年1月1日至今同类业绩，一份得2.5分，满分5分。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（须提供合同复印件并加盖公章，否则不得分。）</w:t>
            </w:r>
          </w:p>
        </w:tc>
        <w:tc>
          <w:tcPr>
            <w:tcW w:w="1095" w:type="dxa"/>
            <w:noWrap w:val="0"/>
            <w:vAlign w:val="center"/>
          </w:tcPr>
          <w:p>
            <w:pPr>
              <w:snapToGrid w:val="0"/>
              <w:spacing w:before="50" w:line="360" w:lineRule="auto"/>
              <w:jc w:val="center"/>
              <w:rPr>
                <w:rFonts w:hint="eastAsia" w:ascii="宋体" w:hAnsi="宋体" w:eastAsia="宋体"/>
                <w:kern w:val="0"/>
                <w:szCs w:val="21"/>
                <w:lang w:eastAsia="zh-CN"/>
              </w:rPr>
            </w:pPr>
            <w:r>
              <w:rPr>
                <w:rFonts w:hint="eastAsia" w:ascii="宋体" w:hAnsi="宋体"/>
                <w:szCs w:val="21"/>
                <w:lang w:val="en-US" w:eastAsia="zh-CN"/>
              </w:rPr>
              <w:t>5</w:t>
            </w:r>
          </w:p>
        </w:tc>
        <w:tc>
          <w:tcPr>
            <w:tcW w:w="1395" w:type="dxa"/>
            <w:noWrap w:val="0"/>
            <w:vAlign w:val="center"/>
          </w:tcPr>
          <w:p>
            <w:pPr>
              <w:widowControl/>
              <w:snapToGrid w:val="0"/>
              <w:spacing w:line="360" w:lineRule="auto"/>
              <w:ind w:left="20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pPr>
              <w:snapToGrid w:val="0"/>
              <w:spacing w:before="120" w:beforeLines="50" w:line="360" w:lineRule="auto"/>
              <w:jc w:val="center"/>
              <w:rPr>
                <w:rFonts w:ascii="宋体" w:hAnsi="宋体"/>
                <w:szCs w:val="21"/>
              </w:rPr>
            </w:pPr>
          </w:p>
        </w:tc>
        <w:tc>
          <w:tcPr>
            <w:tcW w:w="1890" w:type="dxa"/>
            <w:noWrap w:val="0"/>
            <w:vAlign w:val="center"/>
          </w:tcPr>
          <w:p>
            <w:pPr>
              <w:snapToGrid w:val="0"/>
              <w:spacing w:before="120" w:beforeLines="50" w:line="360" w:lineRule="auto"/>
              <w:jc w:val="center"/>
              <w:rPr>
                <w:rFonts w:ascii="宋体" w:hAnsi="宋体"/>
                <w:kern w:val="0"/>
                <w:szCs w:val="21"/>
              </w:rPr>
            </w:pPr>
            <w:r>
              <w:rPr>
                <w:rFonts w:hint="eastAsia" w:ascii="宋体" w:hAnsi="宋体"/>
                <w:szCs w:val="21"/>
              </w:rPr>
              <w:t>服务满意情况</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服务供应商具有2020年以来的用户评价材料，每提供一份得2分；满分4分。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（1）须提供用户评价材料复印件，评价材料必须达到90分或带有“满意”或“好评”或“优秀”等相关正面评价字眼；</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（2）评价材料必须与同类项目业绩相对应，否则不得分。</w:t>
            </w:r>
          </w:p>
        </w:tc>
        <w:tc>
          <w:tcPr>
            <w:tcW w:w="1095" w:type="dxa"/>
            <w:noWrap w:val="0"/>
            <w:vAlign w:val="center"/>
          </w:tcPr>
          <w:p>
            <w:pPr>
              <w:snapToGrid w:val="0"/>
              <w:spacing w:before="50" w:line="360" w:lineRule="auto"/>
              <w:jc w:val="center"/>
              <w:rPr>
                <w:rFonts w:hint="eastAsia" w:ascii="宋体" w:hAnsi="宋体" w:eastAsia="宋体"/>
                <w:kern w:val="0"/>
                <w:szCs w:val="21"/>
                <w:lang w:eastAsia="zh-CN"/>
              </w:rPr>
            </w:pPr>
            <w:r>
              <w:rPr>
                <w:rFonts w:hint="eastAsia" w:ascii="宋体" w:hAnsi="宋体"/>
                <w:szCs w:val="21"/>
                <w:lang w:val="en-US" w:eastAsia="zh-CN"/>
              </w:rPr>
              <w:t>4</w:t>
            </w:r>
          </w:p>
        </w:tc>
        <w:tc>
          <w:tcPr>
            <w:tcW w:w="1395" w:type="dxa"/>
            <w:noWrap w:val="0"/>
            <w:vAlign w:val="center"/>
          </w:tcPr>
          <w:p>
            <w:pPr>
              <w:widowControl/>
              <w:snapToGrid w:val="0"/>
              <w:spacing w:line="360" w:lineRule="auto"/>
              <w:ind w:left="20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pPr>
              <w:snapToGrid w:val="0"/>
              <w:spacing w:before="120" w:beforeLines="50" w:line="360" w:lineRule="auto"/>
              <w:jc w:val="center"/>
              <w:rPr>
                <w:rFonts w:hint="eastAsia" w:ascii="宋体" w:hAnsi="宋体"/>
                <w:szCs w:val="21"/>
              </w:rPr>
            </w:pPr>
          </w:p>
        </w:tc>
        <w:tc>
          <w:tcPr>
            <w:tcW w:w="1890" w:type="dxa"/>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应急措施</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根据服务供应商所提供应急措施预案方案进行评审：（珠江新城院区广州市金穗路9号）</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方案非常明确、详尽，合理，可操作性强的得5分；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方案明确、详尽，合理，可操作性较好的得3分；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方案基本明确、合理，可操作性一般的得2分；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方案不太明确、合理，可操作性差的得1分；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无提供得0分。</w:t>
            </w:r>
          </w:p>
        </w:tc>
        <w:tc>
          <w:tcPr>
            <w:tcW w:w="1095" w:type="dxa"/>
            <w:noWrap w:val="0"/>
            <w:vAlign w:val="center"/>
          </w:tcPr>
          <w:p>
            <w:pPr>
              <w:snapToGrid w:val="0"/>
              <w:spacing w:before="50" w:line="360" w:lineRule="auto"/>
              <w:jc w:val="center"/>
              <w:rPr>
                <w:rFonts w:ascii="宋体" w:hAnsi="宋体"/>
                <w:kern w:val="0"/>
                <w:szCs w:val="21"/>
              </w:rPr>
            </w:pPr>
            <w:r>
              <w:rPr>
                <w:rFonts w:hint="eastAsia" w:ascii="宋体" w:hAnsi="宋体"/>
                <w:szCs w:val="21"/>
              </w:rPr>
              <w:t>5</w:t>
            </w:r>
          </w:p>
        </w:tc>
        <w:tc>
          <w:tcPr>
            <w:tcW w:w="1395" w:type="dxa"/>
            <w:noWrap w:val="0"/>
            <w:vAlign w:val="center"/>
          </w:tcPr>
          <w:p>
            <w:pPr>
              <w:widowControl/>
              <w:snapToGrid w:val="0"/>
              <w:spacing w:line="360" w:lineRule="auto"/>
              <w:ind w:left="20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restart"/>
            <w:noWrap w:val="0"/>
            <w:vAlign w:val="center"/>
          </w:tcPr>
          <w:p>
            <w:pPr>
              <w:snapToGrid w:val="0"/>
              <w:spacing w:before="120" w:beforeLines="50" w:line="360" w:lineRule="auto"/>
              <w:jc w:val="center"/>
              <w:rPr>
                <w:rFonts w:hint="eastAsia" w:ascii="宋体" w:hAnsi="宋体" w:eastAsia="宋体"/>
                <w:sz w:val="18"/>
                <w:szCs w:val="20"/>
                <w:lang w:val="en-US" w:eastAsia="zh-CN"/>
              </w:rPr>
            </w:pPr>
            <w:r>
              <w:rPr>
                <w:rFonts w:hint="eastAsia" w:ascii="宋体" w:hAnsi="宋体"/>
                <w:sz w:val="18"/>
                <w:szCs w:val="20"/>
                <w:lang w:val="en-US" w:eastAsia="zh-CN"/>
              </w:rPr>
              <w:t>技术（总分60）</w:t>
            </w:r>
          </w:p>
        </w:tc>
        <w:tc>
          <w:tcPr>
            <w:tcW w:w="1890"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对用户服务需求带▲号的响应程度</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根据服务供应商对遴选文件“第二部分 采购项目内容：二、服务要求”中▲号（共5条）响应进行评审，每满足一个▲号，得4分，满分20分。 （提供相关的技术证明文件）</w:t>
            </w:r>
          </w:p>
        </w:tc>
        <w:tc>
          <w:tcPr>
            <w:tcW w:w="1095" w:type="dxa"/>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20</w:t>
            </w:r>
          </w:p>
        </w:tc>
        <w:tc>
          <w:tcPr>
            <w:tcW w:w="1395" w:type="dxa"/>
            <w:noWrap w:val="0"/>
            <w:vAlign w:val="center"/>
          </w:tcPr>
          <w:p>
            <w:pPr>
              <w:adjustRightInd/>
              <w:spacing w:line="360" w:lineRule="auto"/>
              <w:textAlignment w:val="auto"/>
              <w:rPr>
                <w:rFonts w:hint="eastAsia" w:ascii="宋体" w:hAnsi="宋体" w:eastAsia="宋体" w:cs="Times New Roman"/>
                <w:kern w:val="2"/>
                <w:sz w:val="20"/>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pPr>
              <w:snapToGrid w:val="0"/>
              <w:spacing w:before="120" w:beforeLines="50" w:line="360" w:lineRule="auto"/>
              <w:jc w:val="center"/>
              <w:rPr>
                <w:rFonts w:hint="eastAsia" w:ascii="宋体" w:hAnsi="宋体"/>
                <w:sz w:val="18"/>
                <w:szCs w:val="20"/>
              </w:rPr>
            </w:pPr>
          </w:p>
        </w:tc>
        <w:tc>
          <w:tcPr>
            <w:tcW w:w="1890"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对用户服务需求不带▲号的响应程度</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根据服务供应商对遴选文件“第二部分 采购项目内容：二、服务要求”中不带▲号参数的响应程度进行评审：完全满足得5分；负偏离总数≤10项的，每出现一项负偏离，扣2分；负偏离总数＞10项的，得0分。（提供相关的技术证明文件。注：凡是标有序号的一般条款均以一项单独的条款计算，无论是否隶属于上一级编号）</w:t>
            </w:r>
          </w:p>
        </w:tc>
        <w:tc>
          <w:tcPr>
            <w:tcW w:w="109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15</w:t>
            </w:r>
          </w:p>
        </w:tc>
        <w:tc>
          <w:tcPr>
            <w:tcW w:w="1395" w:type="dxa"/>
            <w:noWrap w:val="0"/>
            <w:vAlign w:val="center"/>
          </w:tcPr>
          <w:p>
            <w:pPr>
              <w:adjustRightInd/>
              <w:spacing w:line="360" w:lineRule="auto"/>
              <w:textAlignment w:val="auto"/>
              <w:rPr>
                <w:rFonts w:hint="eastAsia" w:ascii="宋体" w:hAnsi="宋体" w:eastAsia="宋体" w:cs="Times New Roman"/>
                <w:kern w:val="2"/>
                <w:sz w:val="20"/>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pPr>
              <w:snapToGrid w:val="0"/>
              <w:spacing w:before="120" w:beforeLines="50" w:line="360" w:lineRule="auto"/>
              <w:jc w:val="center"/>
              <w:rPr>
                <w:rFonts w:hint="eastAsia" w:ascii="宋体" w:hAnsi="宋体"/>
                <w:sz w:val="18"/>
                <w:szCs w:val="20"/>
              </w:rPr>
            </w:pPr>
          </w:p>
        </w:tc>
        <w:tc>
          <w:tcPr>
            <w:tcW w:w="1890"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服务管理方案</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对服务供应商提供的服务管理方案进行评价：</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（1）服务管理方案具体、可行，全面综合评价为优，得10分；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（2）服务管理方案可性行一般，综合评价一般，得7分；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（3）服务管理方案基本满足采购需求，但存在负偏差，综合评价较差，得4分；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（4）不提供不得分。</w:t>
            </w:r>
          </w:p>
        </w:tc>
        <w:tc>
          <w:tcPr>
            <w:tcW w:w="109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10</w:t>
            </w:r>
          </w:p>
        </w:tc>
        <w:tc>
          <w:tcPr>
            <w:tcW w:w="1395"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pPr>
              <w:snapToGrid w:val="0"/>
              <w:spacing w:before="120" w:beforeLines="50" w:line="360" w:lineRule="auto"/>
              <w:jc w:val="center"/>
              <w:rPr>
                <w:rFonts w:hint="eastAsia" w:ascii="宋体" w:hAnsi="宋体"/>
                <w:sz w:val="18"/>
                <w:szCs w:val="20"/>
              </w:rPr>
            </w:pPr>
          </w:p>
        </w:tc>
        <w:tc>
          <w:tcPr>
            <w:tcW w:w="1890" w:type="dxa"/>
            <w:noWrap w:val="0"/>
            <w:vAlign w:val="center"/>
          </w:tcPr>
          <w:p>
            <w:pPr>
              <w:keepNext w:val="0"/>
              <w:keepLines w:val="0"/>
              <w:suppressLineNumbers w:val="0"/>
              <w:spacing w:before="0" w:beforeAutospacing="0" w:after="0" w:afterAutospacing="0"/>
              <w:ind w:left="0" w:right="0"/>
              <w:jc w:val="left"/>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服务授权方案</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服务供应商具备设备厂家授权，并提供相关证明材料：具备厂家授权得6分，没有不得分。</w:t>
            </w:r>
          </w:p>
        </w:tc>
        <w:tc>
          <w:tcPr>
            <w:tcW w:w="109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6</w:t>
            </w:r>
          </w:p>
        </w:tc>
        <w:tc>
          <w:tcPr>
            <w:tcW w:w="1395"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pPr>
              <w:snapToGrid w:val="0"/>
              <w:spacing w:before="120" w:beforeLines="50" w:line="360" w:lineRule="auto"/>
              <w:jc w:val="center"/>
              <w:rPr>
                <w:rFonts w:hint="eastAsia" w:ascii="宋体" w:hAnsi="宋体"/>
                <w:sz w:val="18"/>
                <w:szCs w:val="20"/>
              </w:rPr>
            </w:pPr>
          </w:p>
        </w:tc>
        <w:tc>
          <w:tcPr>
            <w:tcW w:w="1890"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服务工具、设施、配件配置情况</w:t>
            </w:r>
          </w:p>
        </w:tc>
        <w:tc>
          <w:tcPr>
            <w:tcW w:w="4125" w:type="dxa"/>
            <w:gridSpan w:val="2"/>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根据服务供应商的服务工具、设施、配件等是否配置充分、先进进行评价：</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（1）服务供应商的服务工具和设施配置充分、先进，且具有原厂备件库（含保税库），得9分；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（2）服务供应商的服务工具和设施配置充分、先进，有原厂备件库（不含保税库），得5分；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（3）服务供应商的服务工具和设施配置较充分、先进性一般，无原厂备件库，得2分；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（4）不提供不得分。</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（须提供相关证明材料）</w:t>
            </w:r>
          </w:p>
        </w:tc>
        <w:tc>
          <w:tcPr>
            <w:tcW w:w="109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9</w:t>
            </w:r>
          </w:p>
        </w:tc>
        <w:tc>
          <w:tcPr>
            <w:tcW w:w="1395"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noWrap w:val="0"/>
            <w:vAlign w:val="center"/>
          </w:tcPr>
          <w:p>
            <w:pPr>
              <w:keepNext w:val="0"/>
              <w:keepLines w:val="0"/>
              <w:suppressLineNumbers w:val="0"/>
              <w:spacing w:before="0" w:beforeAutospacing="0" w:after="0" w:afterAutospacing="0"/>
              <w:ind w:left="0" w:leftChars="0" w:right="0" w:rightChars="0"/>
              <w:jc w:val="center"/>
              <w:rPr>
                <w:rFonts w:hint="eastAsia" w:eastAsia="宋体" w:cs="Times New Roman" w:asciiTheme="minorEastAsia" w:hAnsiTheme="minorEastAsia"/>
                <w:sz w:val="18"/>
                <w:szCs w:val="18"/>
                <w:lang w:val="en-US" w:eastAsia="zh-CN" w:bidi="ar-SA"/>
              </w:rPr>
            </w:pPr>
            <w:r>
              <w:rPr>
                <w:rFonts w:hint="eastAsia" w:asciiTheme="minorEastAsia" w:hAnsiTheme="minorEastAsia"/>
                <w:sz w:val="18"/>
                <w:szCs w:val="18"/>
                <w:lang w:val="en-US" w:eastAsia="zh-CN"/>
              </w:rPr>
              <w:t>价格</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（总分20）</w:t>
            </w:r>
          </w:p>
        </w:tc>
        <w:tc>
          <w:tcPr>
            <w:tcW w:w="1890" w:type="dxa"/>
            <w:noWrap w:val="0"/>
            <w:vAlign w:val="center"/>
          </w:tcPr>
          <w:p>
            <w:pPr>
              <w:keepNext w:val="0"/>
              <w:keepLines w:val="0"/>
              <w:suppressLineNumbers w:val="0"/>
              <w:spacing w:before="0" w:beforeAutospacing="0" w:after="0" w:afterAutospacing="0"/>
              <w:ind w:left="0" w:leftChars="0" w:right="0" w:rightChars="0"/>
              <w:jc w:val="center"/>
              <w:rPr>
                <w:rFonts w:hint="default" w:eastAsia="宋体" w:cs="Times New Roman" w:asciiTheme="minorEastAsia" w:hAnsiTheme="minorEastAsia"/>
                <w:sz w:val="18"/>
                <w:szCs w:val="18"/>
                <w:lang w:val="en-US" w:eastAsia="zh-CN" w:bidi="ar-SA"/>
              </w:rPr>
            </w:pPr>
            <w:r>
              <w:rPr>
                <w:rFonts w:hint="eastAsia" w:asciiTheme="minorEastAsia" w:hAnsiTheme="minorEastAsia"/>
                <w:sz w:val="18"/>
                <w:szCs w:val="18"/>
                <w:lang w:val="en-US" w:eastAsia="zh-CN"/>
              </w:rPr>
              <w:t>价格评分</w:t>
            </w:r>
          </w:p>
        </w:tc>
        <w:tc>
          <w:tcPr>
            <w:tcW w:w="4125" w:type="dxa"/>
            <w:gridSpan w:val="2"/>
            <w:noWrap w:val="0"/>
            <w:vAlign w:val="center"/>
          </w:tcPr>
          <w:p>
            <w:pPr>
              <w:spacing w:line="360" w:lineRule="auto"/>
              <w:rPr>
                <w:rFonts w:hint="eastAsia" w:ascii="宋体" w:hAnsi="宋体"/>
                <w:szCs w:val="21"/>
              </w:rPr>
            </w:pPr>
            <w:r>
              <w:rPr>
                <w:rFonts w:hint="eastAsia" w:ascii="宋体" w:hAnsi="宋体"/>
                <w:szCs w:val="21"/>
              </w:rPr>
              <w:t>价格得分采用低价优先法计算，即满足</w:t>
            </w:r>
            <w:r>
              <w:rPr>
                <w:rFonts w:hint="eastAsia" w:ascii="宋体" w:hAnsi="宋体"/>
                <w:szCs w:val="21"/>
                <w:lang w:val="en-US" w:eastAsia="zh-CN"/>
              </w:rPr>
              <w:t>遴选</w:t>
            </w:r>
            <w:r>
              <w:rPr>
                <w:rFonts w:hint="eastAsia" w:ascii="宋体" w:hAnsi="宋体"/>
                <w:szCs w:val="21"/>
              </w:rPr>
              <w:t>文件要求且价格最低的</w:t>
            </w:r>
            <w:r>
              <w:rPr>
                <w:rFonts w:hint="eastAsia" w:ascii="宋体" w:hAnsi="宋体"/>
                <w:szCs w:val="21"/>
                <w:lang w:val="en-US" w:eastAsia="zh-CN"/>
              </w:rPr>
              <w:t>报</w:t>
            </w:r>
            <w:r>
              <w:rPr>
                <w:rFonts w:hint="eastAsia" w:ascii="宋体" w:hAnsi="宋体"/>
                <w:szCs w:val="21"/>
              </w:rPr>
              <w:t>价为</w:t>
            </w:r>
            <w:r>
              <w:rPr>
                <w:rFonts w:hint="eastAsia" w:ascii="宋体" w:hAnsi="宋体"/>
                <w:szCs w:val="21"/>
                <w:lang w:val="en-US" w:eastAsia="zh-CN"/>
              </w:rPr>
              <w:t>遴选</w:t>
            </w:r>
            <w:r>
              <w:rPr>
                <w:rFonts w:hint="eastAsia" w:ascii="宋体" w:hAnsi="宋体"/>
                <w:szCs w:val="21"/>
              </w:rPr>
              <w:t>基准价（</w:t>
            </w:r>
            <w:r>
              <w:rPr>
                <w:rFonts w:hint="eastAsia" w:ascii="宋体" w:hAnsi="宋体"/>
                <w:szCs w:val="21"/>
                <w:lang w:val="en-US" w:eastAsia="zh-CN"/>
              </w:rPr>
              <w:t>报</w:t>
            </w:r>
            <w:r>
              <w:rPr>
                <w:rFonts w:hint="eastAsia" w:ascii="宋体" w:hAnsi="宋体"/>
                <w:szCs w:val="21"/>
              </w:rPr>
              <w:t>价指按照</w:t>
            </w:r>
            <w:r>
              <w:rPr>
                <w:rFonts w:hint="eastAsia" w:ascii="宋体" w:hAnsi="宋体"/>
                <w:szCs w:val="21"/>
                <w:lang w:val="en-US" w:eastAsia="zh-CN"/>
              </w:rPr>
              <w:t>遴选</w:t>
            </w:r>
            <w:r>
              <w:rPr>
                <w:rFonts w:hint="eastAsia" w:ascii="宋体" w:hAnsi="宋体"/>
                <w:szCs w:val="21"/>
              </w:rPr>
              <w:t>文件条款修正后的价格），价格得分为20分，其他</w:t>
            </w:r>
            <w:r>
              <w:rPr>
                <w:rFonts w:hint="eastAsia" w:ascii="宋体" w:hAnsi="宋体"/>
                <w:szCs w:val="21"/>
                <w:lang w:val="en-US" w:eastAsia="zh-CN"/>
              </w:rPr>
              <w:t>服务供应商</w:t>
            </w:r>
            <w:r>
              <w:rPr>
                <w:rFonts w:hint="eastAsia" w:ascii="宋体" w:hAnsi="宋体"/>
                <w:szCs w:val="21"/>
              </w:rPr>
              <w:t>的价格得分按如下公式计算：</w:t>
            </w:r>
          </w:p>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宋体" w:hAnsi="宋体"/>
                <w:szCs w:val="21"/>
              </w:rPr>
              <w:t>价格得分=（</w:t>
            </w:r>
            <w:r>
              <w:rPr>
                <w:rFonts w:hint="eastAsia" w:ascii="宋体" w:hAnsi="宋体"/>
                <w:szCs w:val="21"/>
                <w:lang w:val="en-US" w:eastAsia="zh-CN"/>
              </w:rPr>
              <w:t>遴选</w:t>
            </w:r>
            <w:r>
              <w:rPr>
                <w:rFonts w:hint="eastAsia" w:ascii="宋体" w:hAnsi="宋体"/>
                <w:szCs w:val="21"/>
              </w:rPr>
              <w:t>基准价÷</w:t>
            </w:r>
            <w:r>
              <w:rPr>
                <w:rFonts w:hint="eastAsia" w:ascii="宋体" w:hAnsi="宋体"/>
                <w:szCs w:val="21"/>
                <w:lang w:val="en-US" w:eastAsia="zh-CN"/>
              </w:rPr>
              <w:t>报</w:t>
            </w:r>
            <w:r>
              <w:rPr>
                <w:rFonts w:hint="eastAsia" w:ascii="宋体" w:hAnsi="宋体"/>
                <w:szCs w:val="21"/>
              </w:rPr>
              <w:t>价）×20。</w:t>
            </w:r>
          </w:p>
        </w:tc>
        <w:tc>
          <w:tcPr>
            <w:tcW w:w="1095" w:type="dxa"/>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20</w:t>
            </w:r>
          </w:p>
        </w:tc>
        <w:tc>
          <w:tcPr>
            <w:tcW w:w="1395"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656" w:hRule="atLeast"/>
        </w:trPr>
        <w:tc>
          <w:tcPr>
            <w:tcW w:w="3007"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sz w:val="18"/>
                <w:szCs w:val="18"/>
                <w:lang w:val="en-US" w:eastAsia="zh-CN"/>
              </w:rPr>
            </w:pPr>
            <w:r>
              <w:rPr>
                <w:rFonts w:hint="eastAsia" w:asciiTheme="minorEastAsia" w:hAnsiTheme="minorEastAsia"/>
                <w:b/>
                <w:bCs/>
                <w:sz w:val="28"/>
                <w:szCs w:val="28"/>
                <w:lang w:val="en-US" w:eastAsia="zh-CN"/>
              </w:rPr>
              <w:t>设备保修价格：</w:t>
            </w:r>
          </w:p>
        </w:tc>
        <w:tc>
          <w:tcPr>
            <w:tcW w:w="2062"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c>
          <w:tcPr>
            <w:tcW w:w="3158" w:type="dxa"/>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b/>
                <w:bCs/>
                <w:sz w:val="28"/>
                <w:szCs w:val="28"/>
                <w:lang w:val="en-US" w:eastAsia="zh-CN"/>
              </w:rPr>
              <w:t>得分合计：</w:t>
            </w:r>
          </w:p>
        </w:tc>
        <w:tc>
          <w:tcPr>
            <w:tcW w:w="1395" w:type="dxa"/>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bl>
    <w:p>
      <w:pPr>
        <w:autoSpaceDE w:val="0"/>
        <w:autoSpaceDN w:val="0"/>
        <w:spacing w:line="360" w:lineRule="auto"/>
        <w:rPr>
          <w:rFonts w:hint="eastAsia" w:ascii="宋体" w:hAnsi="宋体" w:cs="宋体"/>
          <w:sz w:val="24"/>
          <w:szCs w:val="24"/>
          <w:lang w:eastAsia="zh-CN"/>
        </w:rPr>
      </w:pPr>
    </w:p>
    <w:p>
      <w:pPr>
        <w:autoSpaceDE w:val="0"/>
        <w:autoSpaceDN w:val="0"/>
        <w:spacing w:line="360" w:lineRule="auto"/>
        <w:rPr>
          <w:rFonts w:hint="default" w:ascii="宋体" w:hAnsi="宋体" w:cs="宋体"/>
          <w:sz w:val="24"/>
          <w:szCs w:val="24"/>
          <w:lang w:val="en-US" w:eastAsia="zh-CN"/>
        </w:rPr>
      </w:pPr>
      <w:r>
        <w:rPr>
          <w:rFonts w:hint="eastAsia" w:ascii="宋体" w:hAnsi="宋体" w:cs="宋体"/>
          <w:sz w:val="24"/>
          <w:szCs w:val="24"/>
          <w:lang w:eastAsia="zh-CN"/>
        </w:rPr>
        <w:t>评委签名：</w:t>
      </w:r>
      <w:r>
        <w:rPr>
          <w:rFonts w:hint="eastAsia" w:ascii="宋体" w:hAnsi="宋体" w:cs="宋体"/>
          <w:sz w:val="24"/>
          <w:szCs w:val="24"/>
          <w:lang w:val="en-US" w:eastAsia="zh-CN"/>
        </w:rPr>
        <w:t xml:space="preserve">                                  日期：      年     月     日</w:t>
      </w:r>
    </w:p>
    <w:p>
      <w:pPr>
        <w:autoSpaceDE w:val="0"/>
        <w:autoSpaceDN w:val="0"/>
        <w:spacing w:line="360" w:lineRule="auto"/>
        <w:jc w:val="center"/>
        <w:rPr>
          <w:rFonts w:hint="eastAsia" w:ascii="宋体" w:hAnsi="宋体" w:cs="宋体"/>
          <w:b/>
          <w:sz w:val="32"/>
          <w:szCs w:val="32"/>
          <w:lang w:val="en-US" w:eastAsia="zh-CN"/>
        </w:rPr>
      </w:pPr>
    </w:p>
    <w:p>
      <w:pPr>
        <w:autoSpaceDE w:val="0"/>
        <w:autoSpaceDN w:val="0"/>
        <w:spacing w:line="360" w:lineRule="auto"/>
        <w:jc w:val="center"/>
        <w:rPr>
          <w:rFonts w:hint="eastAsia" w:ascii="宋体" w:hAnsi="宋体" w:cs="宋体"/>
          <w:b/>
          <w:sz w:val="32"/>
          <w:szCs w:val="32"/>
          <w:lang w:val="en-US" w:eastAsia="zh-CN"/>
        </w:rPr>
      </w:pPr>
    </w:p>
    <w:p>
      <w:pPr>
        <w:autoSpaceDE w:val="0"/>
        <w:autoSpaceDN w:val="0"/>
        <w:spacing w:line="360" w:lineRule="auto"/>
        <w:jc w:val="center"/>
        <w:rPr>
          <w:rFonts w:hint="eastAsia" w:ascii="宋体" w:hAnsi="宋体" w:cs="宋体"/>
          <w:b/>
          <w:sz w:val="32"/>
          <w:szCs w:val="32"/>
          <w:lang w:val="en-US" w:eastAsia="zh-CN"/>
        </w:rPr>
      </w:pPr>
    </w:p>
    <w:p>
      <w:pPr>
        <w:autoSpaceDE w:val="0"/>
        <w:autoSpaceDN w:val="0"/>
        <w:spacing w:line="360" w:lineRule="auto"/>
        <w:jc w:val="center"/>
        <w:rPr>
          <w:rFonts w:hint="eastAsia" w:ascii="宋体" w:hAnsi="宋体" w:cs="宋体"/>
          <w:b/>
          <w:sz w:val="32"/>
          <w:szCs w:val="32"/>
          <w:lang w:val="en-US" w:eastAsia="zh-CN"/>
        </w:rPr>
      </w:pPr>
    </w:p>
    <w:p>
      <w:pPr>
        <w:autoSpaceDE w:val="0"/>
        <w:autoSpaceDN w:val="0"/>
        <w:spacing w:line="360" w:lineRule="auto"/>
        <w:jc w:val="center"/>
        <w:rPr>
          <w:rFonts w:hint="eastAsia" w:ascii="宋体" w:hAnsi="宋体" w:cs="宋体"/>
          <w:b/>
          <w:sz w:val="32"/>
          <w:szCs w:val="32"/>
          <w:lang w:val="en-US" w:eastAsia="zh-CN"/>
        </w:rPr>
      </w:pPr>
    </w:p>
    <w:p>
      <w:pPr>
        <w:autoSpaceDE w:val="0"/>
        <w:autoSpaceDN w:val="0"/>
        <w:spacing w:line="360" w:lineRule="auto"/>
        <w:jc w:val="center"/>
        <w:rPr>
          <w:rFonts w:hint="eastAsia" w:ascii="宋体" w:hAnsi="宋体" w:cs="宋体"/>
          <w:b/>
          <w:sz w:val="32"/>
          <w:szCs w:val="32"/>
          <w:lang w:val="en-US" w:eastAsia="zh-CN"/>
        </w:rPr>
      </w:pPr>
    </w:p>
    <w:p>
      <w:pPr>
        <w:autoSpaceDE w:val="0"/>
        <w:autoSpaceDN w:val="0"/>
        <w:spacing w:line="360" w:lineRule="auto"/>
        <w:jc w:val="center"/>
        <w:rPr>
          <w:rFonts w:hint="eastAsia" w:ascii="宋体" w:hAnsi="宋体" w:cs="宋体"/>
          <w:b/>
          <w:sz w:val="32"/>
          <w:szCs w:val="32"/>
          <w:lang w:val="en-US" w:eastAsia="zh-CN"/>
        </w:rPr>
      </w:pPr>
    </w:p>
    <w:p>
      <w:pPr>
        <w:autoSpaceDE w:val="0"/>
        <w:autoSpaceDN w:val="0"/>
        <w:spacing w:line="360" w:lineRule="auto"/>
        <w:jc w:val="center"/>
        <w:rPr>
          <w:rFonts w:hint="eastAsia" w:ascii="宋体" w:hAnsi="宋体" w:cs="宋体"/>
          <w:b/>
          <w:sz w:val="32"/>
          <w:szCs w:val="32"/>
          <w:lang w:val="en-US" w:eastAsia="zh-CN"/>
        </w:rPr>
      </w:pPr>
    </w:p>
    <w:p>
      <w:pPr>
        <w:autoSpaceDE w:val="0"/>
        <w:autoSpaceDN w:val="0"/>
        <w:spacing w:line="360" w:lineRule="auto"/>
        <w:jc w:val="center"/>
        <w:rPr>
          <w:rFonts w:ascii="宋体" w:hAnsi="宋体" w:cs="宋体"/>
          <w:b/>
          <w:sz w:val="32"/>
          <w:szCs w:val="32"/>
        </w:rPr>
      </w:pPr>
      <w:r>
        <w:rPr>
          <w:rFonts w:hint="eastAsia" w:ascii="宋体" w:hAnsi="宋体" w:cs="宋体"/>
          <w:b/>
          <w:sz w:val="32"/>
          <w:szCs w:val="32"/>
          <w:lang w:val="en-US" w:eastAsia="zh-CN"/>
        </w:rPr>
        <w:t>二</w:t>
      </w:r>
      <w:r>
        <w:rPr>
          <w:rFonts w:hint="eastAsia" w:ascii="宋体" w:hAnsi="宋体" w:cs="宋体"/>
          <w:b/>
          <w:sz w:val="32"/>
          <w:szCs w:val="32"/>
        </w:rPr>
        <w:t>、资格性自查表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BD流式细胞仪保修</w:t>
      </w:r>
      <w:r>
        <w:rPr>
          <w:rFonts w:hint="eastAsia" w:ascii="宋体" w:hAnsi="宋体" w:cs="宋体"/>
          <w:sz w:val="24"/>
          <w:szCs w:val="24"/>
        </w:rPr>
        <w:t>服务</w:t>
      </w:r>
    </w:p>
    <w:tbl>
      <w:tblPr>
        <w:tblStyle w:val="19"/>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pPr>
              <w:tabs>
                <w:tab w:val="left" w:pos="612"/>
              </w:tabs>
              <w:snapToGrid w:val="0"/>
              <w:spacing w:line="288" w:lineRule="auto"/>
              <w:rPr>
                <w:rFonts w:ascii="宋体" w:hAnsi="宋体" w:cs="宋体"/>
                <w:sz w:val="18"/>
                <w:szCs w:val="18"/>
              </w:rPr>
            </w:pPr>
            <w:bookmarkStart w:id="14" w:name="_GoBack"/>
            <w:bookmarkEnd w:id="14"/>
            <w:r>
              <w:rPr>
                <w:rFonts w:hint="eastAsia" w:asciiTheme="minorEastAsia" w:hAnsiTheme="minorEastAsia"/>
                <w:sz w:val="18"/>
                <w:szCs w:val="18"/>
                <w:lang w:eastAsia="zh-CN"/>
              </w:rPr>
              <w:t>服务供应商</w:t>
            </w:r>
            <w:r>
              <w:rPr>
                <w:rFonts w:hint="eastAsia" w:asciiTheme="minorEastAsia" w:hAnsiTheme="minorEastAsia"/>
                <w:sz w:val="18"/>
                <w:szCs w:val="18"/>
              </w:rPr>
              <w:t>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pPr>
              <w:rPr>
                <w:rFonts w:asciiTheme="minorEastAsia" w:hAnsiTheme="minorEastAsia"/>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应当具有良好的商业信誉和健全的财务会计制度。以下列证明之一为准：</w:t>
            </w:r>
          </w:p>
          <w:p>
            <w:pPr>
              <w:rPr>
                <w:rFonts w:asciiTheme="minorEastAsia" w:hAnsiTheme="minorEastAsia"/>
                <w:sz w:val="18"/>
                <w:szCs w:val="18"/>
              </w:rPr>
            </w:pPr>
            <w:r>
              <w:rPr>
                <w:rFonts w:hint="eastAsia" w:asciiTheme="minorEastAsia" w:hAnsiTheme="minorEastAsia"/>
                <w:sz w:val="18"/>
                <w:szCs w:val="18"/>
              </w:rPr>
              <w:t xml:space="preserve">① </w:t>
            </w:r>
            <w:r>
              <w:rPr>
                <w:rFonts w:hint="eastAsia" w:asciiTheme="minorEastAsia" w:hAnsiTheme="minorEastAsia"/>
                <w:sz w:val="18"/>
                <w:szCs w:val="18"/>
                <w:lang w:eastAsia="zh-CN"/>
              </w:rPr>
              <w:t>2022</w:t>
            </w:r>
            <w:r>
              <w:rPr>
                <w:rFonts w:hint="eastAsia" w:asciiTheme="minorEastAsia" w:hAnsiTheme="minorEastAsia"/>
                <w:sz w:val="18"/>
                <w:szCs w:val="18"/>
              </w:rPr>
              <w:t>年度经审核的含财务报表的财务（状况）报告（适用于在上一年度前成立的法人或其他组织，年度由连续12个历月构成，从1月1日起至12月31日止）；</w:t>
            </w:r>
          </w:p>
          <w:p>
            <w:pPr>
              <w:rPr>
                <w:rFonts w:asciiTheme="minorEastAsia" w:hAnsiTheme="minorEastAsia"/>
                <w:sz w:val="18"/>
                <w:szCs w:val="18"/>
              </w:rPr>
            </w:pPr>
            <w:r>
              <w:rPr>
                <w:rFonts w:hint="eastAsia" w:asciiTheme="minorEastAsia" w:hAnsiTheme="minorEastAsia"/>
                <w:sz w:val="18"/>
                <w:szCs w:val="18"/>
              </w:rPr>
              <w:t>② 最近一期财务报表（适用在上一年度或本财务年度成立的法人或其他组织）；</w:t>
            </w:r>
          </w:p>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③ 存款账户开户银行最近一个月内出具的资信证明（适用于法人或其他组织）</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lang w:eastAsia="zh-CN"/>
              </w:rPr>
              <w:t>服务供应商</w:t>
            </w:r>
            <w:r>
              <w:rPr>
                <w:rFonts w:hint="eastAsia" w:asciiTheme="minorEastAsia" w:hAnsiTheme="minorEastAsia"/>
                <w:sz w:val="18"/>
                <w:szCs w:val="18"/>
              </w:rPr>
              <w:t>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应当具备履行合同所必需的设备和专业技术能力。以具有相关的设备及专业技术能力的证明材料或书面承诺为准。（格式自定）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参加政府采购活动前三年内，在经营活动中没有重大违法记录（重大违法记录是指</w:t>
            </w:r>
            <w:r>
              <w:rPr>
                <w:rFonts w:hint="eastAsia" w:asciiTheme="minorEastAsia" w:hAnsiTheme="minorEastAsia"/>
                <w:sz w:val="18"/>
                <w:szCs w:val="18"/>
                <w:lang w:eastAsia="zh-CN"/>
              </w:rPr>
              <w:t>服务供应商</w:t>
            </w:r>
            <w:r>
              <w:rPr>
                <w:rFonts w:hint="eastAsia" w:asciiTheme="minorEastAsia" w:hAnsiTheme="minorEastAsia"/>
                <w:sz w:val="18"/>
                <w:szCs w:val="18"/>
              </w:rPr>
              <w:t>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必须符合法律、行政法规规定的其他条件。</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w:t>
            </w:r>
            <w:r>
              <w:rPr>
                <w:rFonts w:hint="eastAsia" w:asciiTheme="minorEastAsia" w:hAnsiTheme="minorEastAsia"/>
                <w:sz w:val="18"/>
                <w:szCs w:val="18"/>
                <w:lang w:eastAsia="zh-CN"/>
              </w:rPr>
              <w:t>服务供应商</w:t>
            </w:r>
            <w:r>
              <w:rPr>
                <w:rFonts w:hint="eastAsia" w:asciiTheme="minorEastAsia" w:hAnsiTheme="minorEastAsia"/>
                <w:sz w:val="18"/>
                <w:szCs w:val="18"/>
              </w:rPr>
              <w:t>需提供相关证明材料。</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before="100" w:beforeAutospacing="1"/>
        <w:rPr>
          <w:rFonts w:ascii="宋体" w:hAnsi="宋体" w:eastAsia="宋体" w:cs="Times New Roman"/>
          <w:sz w:val="21"/>
          <w:szCs w:val="21"/>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ascii="宋体" w:hAnsi="宋体" w:cs="宋体"/>
          <w:b/>
          <w:sz w:val="32"/>
          <w:szCs w:val="32"/>
        </w:rPr>
      </w:pPr>
      <w:r>
        <w:rPr>
          <w:rFonts w:hint="eastAsia" w:ascii="宋体" w:hAnsi="宋体" w:cs="宋体"/>
          <w:b/>
          <w:sz w:val="32"/>
          <w:szCs w:val="32"/>
          <w:lang w:val="en-US" w:eastAsia="zh-CN"/>
        </w:rPr>
        <w:t>三</w:t>
      </w:r>
      <w:r>
        <w:rPr>
          <w:rFonts w:hint="eastAsia" w:ascii="宋体" w:hAnsi="宋体" w:cs="宋体"/>
          <w:b/>
          <w:sz w:val="32"/>
          <w:szCs w:val="32"/>
        </w:rPr>
        <w:t>、符合性自查表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BD流式细胞仪保修</w:t>
      </w:r>
      <w:r>
        <w:rPr>
          <w:rFonts w:hint="eastAsia" w:ascii="宋体" w:hAnsi="宋体" w:cs="宋体"/>
          <w:sz w:val="24"/>
          <w:szCs w:val="24"/>
        </w:rPr>
        <w:t xml:space="preserve">服务 </w:t>
      </w:r>
    </w:p>
    <w:tbl>
      <w:tblPr>
        <w:tblStyle w:val="19"/>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报价表</w:t>
      </w:r>
    </w:p>
    <w:p>
      <w:pPr>
        <w:tabs>
          <w:tab w:val="left" w:pos="7740"/>
        </w:tabs>
        <w:snapToGrid w:val="0"/>
        <w:spacing w:line="360" w:lineRule="auto"/>
        <w:rPr>
          <w:rFonts w:ascii="宋体" w:hAnsi="宋体"/>
          <w:sz w:val="24"/>
        </w:rPr>
      </w:pPr>
      <w:r>
        <w:rPr>
          <w:rFonts w:hint="eastAsia" w:ascii="宋体" w:hAnsi="宋体"/>
          <w:sz w:val="24"/>
        </w:rPr>
        <w:t>项目名称：广州</w:t>
      </w:r>
      <w:r>
        <w:rPr>
          <w:rFonts w:hint="eastAsia" w:ascii="宋体" w:hAnsi="宋体"/>
          <w:sz w:val="24"/>
          <w:lang w:val="en-US" w:eastAsia="zh-CN"/>
        </w:rPr>
        <w:t>医科大学附属</w:t>
      </w:r>
      <w:r>
        <w:rPr>
          <w:rFonts w:hint="eastAsia" w:ascii="宋体" w:hAnsi="宋体"/>
          <w:sz w:val="24"/>
        </w:rPr>
        <w:t>妇女儿童医疗中心</w:t>
      </w:r>
      <w:r>
        <w:rPr>
          <w:rFonts w:hint="eastAsia" w:ascii="宋体" w:hAnsi="宋体" w:cs="宋体"/>
          <w:sz w:val="24"/>
          <w:szCs w:val="24"/>
          <w:lang w:val="en-US" w:eastAsia="zh-CN"/>
        </w:rPr>
        <w:t>BD流式细胞仪保修</w:t>
      </w:r>
      <w:r>
        <w:rPr>
          <w:rFonts w:hint="eastAsia" w:ascii="宋体" w:hAnsi="宋体" w:cs="宋体"/>
          <w:sz w:val="24"/>
          <w:szCs w:val="24"/>
        </w:rPr>
        <w:t>服务</w:t>
      </w:r>
      <w:r>
        <w:rPr>
          <w:rFonts w:hint="eastAsia" w:ascii="宋体" w:hAnsi="宋体"/>
          <w:sz w:val="24"/>
        </w:rPr>
        <w:t>项目</w:t>
      </w:r>
    </w:p>
    <w:tbl>
      <w:tblPr>
        <w:tblStyle w:val="19"/>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160"/>
        <w:gridCol w:w="2463"/>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采购内容</w:t>
            </w:r>
          </w:p>
        </w:tc>
        <w:tc>
          <w:tcPr>
            <w:tcW w:w="618"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数量</w:t>
            </w:r>
          </w:p>
        </w:tc>
        <w:tc>
          <w:tcPr>
            <w:tcW w:w="1312"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lang w:eastAsia="zh-CN"/>
              </w:rPr>
              <w:t>遴选</w:t>
            </w:r>
            <w:r>
              <w:rPr>
                <w:rFonts w:hint="eastAsia" w:ascii="宋体"/>
                <w:b/>
                <w:sz w:val="24"/>
              </w:rPr>
              <w:t>报价</w:t>
            </w:r>
          </w:p>
          <w:p>
            <w:pPr>
              <w:snapToGrid w:val="0"/>
              <w:jc w:val="center"/>
              <w:rPr>
                <w:rFonts w:ascii="宋体"/>
                <w:b/>
                <w:sz w:val="24"/>
              </w:rPr>
            </w:pPr>
            <w:r>
              <w:rPr>
                <w:rFonts w:hint="eastAsia" w:ascii="宋体"/>
                <w:b/>
                <w:sz w:val="24"/>
              </w:rPr>
              <w:t>（人民币  元）</w:t>
            </w:r>
          </w:p>
        </w:tc>
        <w:tc>
          <w:tcPr>
            <w:tcW w:w="14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15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cs="宋体"/>
                <w:sz w:val="24"/>
                <w:szCs w:val="24"/>
                <w:lang w:val="en-US" w:eastAsia="zh-CN"/>
              </w:rPr>
              <w:t>BD流式细胞仪保修</w:t>
            </w:r>
            <w:r>
              <w:rPr>
                <w:rFonts w:hint="eastAsia" w:ascii="宋体" w:hAnsi="宋体" w:cs="宋体"/>
                <w:sz w:val="24"/>
                <w:szCs w:val="24"/>
              </w:rPr>
              <w:t>服务</w:t>
            </w:r>
          </w:p>
        </w:tc>
        <w:tc>
          <w:tcPr>
            <w:tcW w:w="618" w:type="pct"/>
            <w:tcBorders>
              <w:top w:val="double" w:color="auto" w:sz="4" w:space="0"/>
              <w:bottom w:val="single" w:color="auto" w:sz="6" w:space="0"/>
            </w:tcBorders>
            <w:vAlign w:val="center"/>
          </w:tcPr>
          <w:p>
            <w:pPr>
              <w:snapToGrid w:val="0"/>
              <w:jc w:val="center"/>
              <w:rPr>
                <w:rFonts w:ascii="宋体"/>
                <w:bCs/>
                <w:sz w:val="24"/>
              </w:rPr>
            </w:pPr>
            <w:r>
              <w:rPr>
                <w:rFonts w:hint="eastAsia" w:ascii="宋体"/>
                <w:bCs/>
                <w:sz w:val="24"/>
              </w:rPr>
              <w:t>1套</w:t>
            </w:r>
          </w:p>
        </w:tc>
        <w:tc>
          <w:tcPr>
            <w:tcW w:w="1312" w:type="pct"/>
            <w:tcBorders>
              <w:top w:val="double" w:color="auto" w:sz="4" w:space="0"/>
              <w:bottom w:val="single" w:color="auto" w:sz="6" w:space="0"/>
            </w:tcBorders>
            <w:vAlign w:val="center"/>
          </w:tcPr>
          <w:p>
            <w:pPr>
              <w:snapToGrid w:val="0"/>
              <w:rPr>
                <w:rFonts w:ascii="宋体"/>
                <w:bCs/>
                <w:sz w:val="24"/>
                <w:u w:val="single"/>
              </w:rPr>
            </w:pPr>
            <w:r>
              <w:rPr>
                <w:rFonts w:hint="eastAsia" w:ascii="宋体"/>
                <w:bCs/>
                <w:sz w:val="24"/>
              </w:rPr>
              <w:t>小写：RMB</w:t>
            </w:r>
          </w:p>
          <w:p>
            <w:pPr>
              <w:snapToGrid w:val="0"/>
              <w:rPr>
                <w:rFonts w:ascii="宋体"/>
                <w:bCs/>
                <w:sz w:val="24"/>
                <w:u w:val="single"/>
              </w:rPr>
            </w:pPr>
            <w:r>
              <w:rPr>
                <w:rFonts w:hint="eastAsia" w:ascii="宋体"/>
                <w:bCs/>
                <w:sz w:val="24"/>
              </w:rPr>
              <w:t>大写：</w:t>
            </w:r>
          </w:p>
        </w:tc>
        <w:tc>
          <w:tcPr>
            <w:tcW w:w="14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sz w:val="24"/>
              </w:rPr>
              <w:t>自合同签订之日起</w:t>
            </w:r>
            <w:r>
              <w:rPr>
                <w:rFonts w:ascii="宋体" w:hAnsi="宋体"/>
                <w:sz w:val="24"/>
                <w:u w:val="single"/>
              </w:rPr>
              <w:t xml:space="preserve">  </w:t>
            </w:r>
            <w:r>
              <w:rPr>
                <w:rFonts w:hint="eastAsia" w:ascii="宋体" w:hAnsi="宋体"/>
                <w:sz w:val="24"/>
              </w:rPr>
              <w:t>日历天内</w:t>
            </w:r>
          </w:p>
        </w:tc>
      </w:tr>
    </w:tbl>
    <w:p>
      <w:pPr>
        <w:spacing w:line="500" w:lineRule="exact"/>
        <w:rPr>
          <w:spacing w:val="4"/>
          <w:sz w:val="24"/>
        </w:rPr>
      </w:pP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pPr>
        <w:tabs>
          <w:tab w:val="left" w:pos="360"/>
        </w:tabs>
        <w:snapToGrid w:val="0"/>
        <w:spacing w:line="360" w:lineRule="auto"/>
        <w:rPr>
          <w:spacing w:val="4"/>
          <w:sz w:val="24"/>
        </w:rPr>
      </w:pPr>
    </w:p>
    <w:p>
      <w:pPr>
        <w:tabs>
          <w:tab w:val="left" w:pos="360"/>
        </w:tabs>
        <w:snapToGrid w:val="0"/>
        <w:spacing w:line="360" w:lineRule="auto"/>
        <w:rPr>
          <w:b/>
          <w:spacing w:val="4"/>
          <w:sz w:val="24"/>
        </w:rPr>
      </w:pPr>
      <w:r>
        <w:rPr>
          <w:rFonts w:hint="eastAsia"/>
          <w:b/>
          <w:spacing w:val="4"/>
          <w:sz w:val="24"/>
        </w:rPr>
        <w:t>说明：</w:t>
      </w:r>
    </w:p>
    <w:p>
      <w:pPr>
        <w:pStyle w:val="28"/>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pPr>
        <w:pStyle w:val="28"/>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pPr>
        <w:pStyle w:val="28"/>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tabs>
          <w:tab w:val="left" w:pos="426"/>
        </w:tabs>
        <w:autoSpaceDE w:val="0"/>
        <w:autoSpaceDN w:val="0"/>
        <w:spacing w:line="360" w:lineRule="auto"/>
        <w:jc w:val="center"/>
        <w:outlineLvl w:val="3"/>
        <w:rPr>
          <w:rFonts w:ascii="黑体" w:hAnsi="黑体" w:eastAsia="黑体"/>
          <w:sz w:val="32"/>
          <w:szCs w:val="32"/>
        </w:rPr>
      </w:pPr>
      <w:bookmarkStart w:id="10" w:name="_Toc435514855"/>
      <w:bookmarkStart w:id="11" w:name="_Toc275865606"/>
      <w:bookmarkStart w:id="12" w:name="_Toc435515295"/>
      <w:r>
        <w:rPr>
          <w:rFonts w:hint="eastAsia" w:ascii="黑体" w:hAnsi="黑体" w:eastAsia="黑体"/>
          <w:sz w:val="32"/>
          <w:szCs w:val="32"/>
          <w:lang w:val="en-US" w:eastAsia="zh-CN"/>
        </w:rPr>
        <w:t>五、服务供应商</w:t>
      </w:r>
      <w:r>
        <w:rPr>
          <w:rFonts w:hint="eastAsia" w:ascii="黑体" w:hAnsi="黑体" w:eastAsia="黑体"/>
          <w:sz w:val="32"/>
          <w:szCs w:val="32"/>
        </w:rPr>
        <w:t>资格声明函</w:t>
      </w:r>
      <w:bookmarkEnd w:id="10"/>
      <w:bookmarkEnd w:id="11"/>
      <w:bookmarkEnd w:id="12"/>
    </w:p>
    <w:p>
      <w:pPr>
        <w:snapToGrid w:val="0"/>
        <w:spacing w:line="360" w:lineRule="auto"/>
        <w:rPr>
          <w:b/>
          <w:sz w:val="24"/>
        </w:rPr>
      </w:pPr>
      <w:r>
        <w:rPr>
          <w:rFonts w:hint="eastAsia"/>
          <w:b/>
          <w:color w:val="000000"/>
          <w:sz w:val="24"/>
        </w:rPr>
        <w:t>广州</w:t>
      </w:r>
      <w:r>
        <w:rPr>
          <w:rFonts w:hint="eastAsia"/>
          <w:b/>
          <w:color w:val="000000"/>
          <w:sz w:val="24"/>
          <w:lang w:val="en-US" w:eastAsia="zh-CN"/>
        </w:rPr>
        <w:t>医科大学附属</w:t>
      </w:r>
      <w:r>
        <w:rPr>
          <w:rFonts w:hint="eastAsia"/>
          <w:b/>
          <w:color w:val="000000"/>
          <w:sz w:val="24"/>
        </w:rPr>
        <w:t>妇女儿童医疗中心</w:t>
      </w:r>
      <w:r>
        <w:rPr>
          <w:rFonts w:hint="eastAsia"/>
          <w:b/>
          <w:sz w:val="24"/>
        </w:rPr>
        <w:t>：</w:t>
      </w:r>
    </w:p>
    <w:p>
      <w:pPr>
        <w:snapToGrid w:val="0"/>
        <w:spacing w:line="360" w:lineRule="auto"/>
        <w:ind w:firstLine="424" w:firstLineChars="202"/>
        <w:rPr>
          <w:rFonts w:ascii="宋体" w:hAnsi="宋体"/>
          <w:sz w:val="21"/>
          <w:szCs w:val="21"/>
        </w:rPr>
      </w:pPr>
      <w:r>
        <w:rPr>
          <w:rFonts w:hint="eastAsia" w:ascii="宋体" w:hAnsi="宋体"/>
          <w:sz w:val="21"/>
          <w:szCs w:val="21"/>
        </w:rPr>
        <w:t>关于贵公司</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日发布</w:t>
      </w:r>
      <w:r>
        <w:rPr>
          <w:rFonts w:hint="eastAsia" w:ascii="宋体" w:hAnsi="宋体"/>
          <w:sz w:val="21"/>
          <w:szCs w:val="21"/>
          <w:u w:val="single"/>
        </w:rPr>
        <w:t xml:space="preserve">  广州</w:t>
      </w:r>
      <w:r>
        <w:rPr>
          <w:rFonts w:hint="eastAsia" w:ascii="宋体" w:hAnsi="宋体"/>
          <w:sz w:val="21"/>
          <w:szCs w:val="21"/>
          <w:u w:val="single"/>
          <w:lang w:val="en-US" w:eastAsia="zh-CN"/>
        </w:rPr>
        <w:t>医科大学附属</w:t>
      </w:r>
      <w:r>
        <w:rPr>
          <w:rFonts w:hint="eastAsia" w:ascii="宋体" w:hAnsi="宋体"/>
          <w:sz w:val="21"/>
          <w:szCs w:val="21"/>
          <w:u w:val="single"/>
        </w:rPr>
        <w:t>妇女儿童医疗中心</w:t>
      </w:r>
      <w:r>
        <w:rPr>
          <w:rFonts w:hint="eastAsia" w:ascii="宋体" w:hAnsi="宋体" w:cs="宋体"/>
          <w:sz w:val="21"/>
          <w:szCs w:val="21"/>
          <w:u w:val="single"/>
          <w:lang w:val="en-US" w:eastAsia="zh-CN"/>
        </w:rPr>
        <w:t>BD流式细胞仪</w:t>
      </w:r>
      <w:r>
        <w:rPr>
          <w:rFonts w:hint="eastAsia" w:ascii="宋体" w:hAnsi="宋体" w:eastAsia="宋体" w:cs="宋体"/>
          <w:sz w:val="21"/>
          <w:szCs w:val="21"/>
          <w:u w:val="single"/>
          <w:lang w:val="en-US" w:eastAsia="zh-CN"/>
        </w:rPr>
        <w:t>保修</w:t>
      </w:r>
      <w:r>
        <w:rPr>
          <w:rFonts w:hint="eastAsia" w:cs="仿宋_GB2312" w:asciiTheme="minorEastAsia" w:hAnsiTheme="minorEastAsia"/>
          <w:sz w:val="21"/>
          <w:szCs w:val="21"/>
          <w:u w:val="single"/>
        </w:rPr>
        <w:t>服务</w:t>
      </w:r>
      <w:r>
        <w:rPr>
          <w:rFonts w:hint="eastAsia" w:ascii="宋体" w:hAnsi="宋体"/>
          <w:sz w:val="21"/>
          <w:szCs w:val="21"/>
          <w:u w:val="single"/>
        </w:rPr>
        <w:t xml:space="preserve">采购项目 </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pPr>
        <w:pStyle w:val="28"/>
        <w:numPr>
          <w:ilvl w:val="0"/>
          <w:numId w:val="8"/>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pPr>
        <w:pStyle w:val="28"/>
        <w:widowControl/>
        <w:numPr>
          <w:ilvl w:val="0"/>
          <w:numId w:val="9"/>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pPr>
        <w:pStyle w:val="28"/>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pPr>
        <w:pStyle w:val="28"/>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pPr>
        <w:pStyle w:val="28"/>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pPr>
        <w:pStyle w:val="28"/>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pPr>
        <w:snapToGrid w:val="0"/>
        <w:spacing w:line="360" w:lineRule="auto"/>
        <w:ind w:firstLine="420"/>
        <w:rPr>
          <w:sz w:val="21"/>
          <w:szCs w:val="21"/>
        </w:rPr>
      </w:pPr>
      <w:r>
        <w:rPr>
          <w:rFonts w:hint="eastAsia"/>
          <w:sz w:val="21"/>
          <w:szCs w:val="21"/>
        </w:rPr>
        <w:t>特此声明！</w:t>
      </w:r>
    </w:p>
    <w:p>
      <w:pPr>
        <w:autoSpaceDE w:val="0"/>
        <w:autoSpaceDN w:val="0"/>
        <w:snapToGrid w:val="0"/>
        <w:spacing w:line="360" w:lineRule="auto"/>
        <w:rPr>
          <w:rFonts w:ascii="宋体" w:hAnsi="宋体"/>
          <w:b/>
          <w:sz w:val="21"/>
          <w:szCs w:val="21"/>
        </w:rPr>
      </w:pPr>
      <w:r>
        <w:rPr>
          <w:rFonts w:hint="eastAsia" w:ascii="宋体" w:hAnsi="宋体"/>
          <w:b/>
          <w:sz w:val="21"/>
          <w:szCs w:val="21"/>
        </w:rPr>
        <w:t>说明：</w:t>
      </w:r>
    </w:p>
    <w:p>
      <w:pPr>
        <w:pStyle w:val="28"/>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pPr>
        <w:pStyle w:val="28"/>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pPr>
        <w:tabs>
          <w:tab w:val="left" w:pos="426"/>
        </w:tabs>
        <w:snapToGrid w:val="0"/>
        <w:spacing w:line="360" w:lineRule="auto"/>
        <w:rPr>
          <w:rFonts w:ascii="宋体" w:hAnsi="宋体"/>
          <w:bCs/>
          <w:color w:val="0000FF"/>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widowControl/>
        <w:jc w:val="left"/>
        <w:rPr>
          <w:rFonts w:ascii="黑体" w:hAnsi="黑体" w:eastAsia="黑体"/>
          <w:sz w:val="32"/>
          <w:szCs w:val="32"/>
        </w:rPr>
      </w:pPr>
      <w:r>
        <w:rPr>
          <w:rFonts w:ascii="黑体" w:hAnsi="黑体" w:eastAsia="黑体"/>
          <w:sz w:val="32"/>
          <w:szCs w:val="32"/>
        </w:rPr>
        <w:br w:type="page"/>
      </w:r>
    </w:p>
    <w:p>
      <w:pPr>
        <w:pStyle w:val="10"/>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六、采购需求条款响应一览表</w:t>
      </w:r>
    </w:p>
    <w:p>
      <w:pPr>
        <w:spacing w:line="400" w:lineRule="exact"/>
        <w:rPr>
          <w:rFonts w:ascii="宋体" w:hAnsi="宋体"/>
          <w:sz w:val="24"/>
        </w:rPr>
      </w:pPr>
      <w:r>
        <w:rPr>
          <w:rFonts w:hint="eastAsia" w:ascii="宋体" w:hAnsi="宋体"/>
          <w:sz w:val="24"/>
        </w:rPr>
        <w:t>说明：</w:t>
      </w:r>
    </w:p>
    <w:p>
      <w:pPr>
        <w:pStyle w:val="28"/>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pPr>
        <w:pStyle w:val="28"/>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pPr>
        <w:pStyle w:val="28"/>
        <w:numPr>
          <w:ilvl w:val="0"/>
          <w:numId w:val="11"/>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pPr>
        <w:pStyle w:val="28"/>
        <w:numPr>
          <w:ilvl w:val="0"/>
          <w:numId w:val="11"/>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pPr>
        <w:widowControl/>
        <w:snapToGrid w:val="0"/>
        <w:spacing w:line="360" w:lineRule="auto"/>
        <w:jc w:val="left"/>
        <w:rPr>
          <w:rFonts w:ascii="宋体" w:hAnsi="宋体"/>
          <w:sz w:val="24"/>
        </w:rPr>
      </w:pPr>
      <w:r>
        <w:rPr>
          <w:rFonts w:hint="eastAsia" w:ascii="宋体" w:hAnsi="宋体"/>
          <w:sz w:val="24"/>
        </w:rPr>
        <w:t>项目名称：</w:t>
      </w:r>
      <w:r>
        <w:rPr>
          <w:rFonts w:hint="eastAsia" w:cs="仿宋_GB2312" w:asciiTheme="minorEastAsia" w:hAnsiTheme="minorEastAsia"/>
          <w:sz w:val="24"/>
        </w:rPr>
        <w:t xml:space="preserve"> </w:t>
      </w:r>
      <w:r>
        <w:rPr>
          <w:rFonts w:hint="eastAsia" w:ascii="宋体" w:hAnsi="宋体"/>
          <w:sz w:val="24"/>
          <w:lang w:val="en-US" w:eastAsia="zh-CN"/>
        </w:rPr>
        <w:t>BD流式细胞仪保修服务</w:t>
      </w:r>
      <w:r>
        <w:rPr>
          <w:rFonts w:hint="eastAsia" w:ascii="宋体" w:hAnsi="宋体"/>
          <w:sz w:val="24"/>
        </w:rPr>
        <w:t>项目</w:t>
      </w:r>
    </w:p>
    <w:tbl>
      <w:tblPr>
        <w:tblStyle w:val="19"/>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646" w:type="dxa"/>
            <w:vAlign w:val="center"/>
          </w:tcPr>
          <w:p>
            <w:pPr>
              <w:spacing w:line="400" w:lineRule="exact"/>
              <w:jc w:val="center"/>
              <w:rPr>
                <w:rFonts w:hint="eastAsia" w:ascii="宋体" w:hAnsi="宋体" w:eastAsia="宋体"/>
                <w:sz w:val="24"/>
                <w:lang w:val="en-US" w:eastAsia="zh-CN"/>
              </w:rPr>
            </w:pPr>
            <w:r>
              <w:rPr>
                <w:rFonts w:hint="eastAsia" w:ascii="Times New Roman" w:hAnsi="Times New Roman" w:cs="Times New Roman"/>
                <w:sz w:val="20"/>
                <w:szCs w:val="20"/>
                <w:lang w:val="en-US" w:eastAsia="zh-CN"/>
              </w:rPr>
              <w:t>1</w:t>
            </w:r>
          </w:p>
        </w:tc>
        <w:tc>
          <w:tcPr>
            <w:tcW w:w="4303" w:type="dxa"/>
            <w:vAlign w:val="center"/>
          </w:tcPr>
          <w:p>
            <w:pPr>
              <w:spacing w:line="400" w:lineRule="exact"/>
              <w:rPr>
                <w:rFonts w:ascii="宋体" w:hAnsi="宋体"/>
                <w:sz w:val="18"/>
                <w:szCs w:val="18"/>
              </w:rPr>
            </w:pPr>
            <w:r>
              <w:rPr>
                <w:rFonts w:hint="eastAsia"/>
                <w:sz w:val="18"/>
                <w:szCs w:val="18"/>
                <w:lang w:val="en-US" w:eastAsia="zh-CN"/>
              </w:rPr>
              <w:t>服务供应商具备专业服务团队。拥有至少2名具备BD原厂培训资质的工程师。为保证工程师的及时到达现场并提供有效的维修服务，服务供应商至少指定1名工程师负责本项目，同时提供2位原厂工程师进行相应的技术支持。（遴选文件中提供工程师名单、原厂工程师培训证书）</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46" w:type="dxa"/>
            <w:vAlign w:val="center"/>
          </w:tcPr>
          <w:p>
            <w:pPr>
              <w:numPr>
                <w:ilvl w:val="0"/>
                <w:numId w:val="0"/>
              </w:numPr>
              <w:adjustRightInd w:val="0"/>
              <w:spacing w:line="360" w:lineRule="atLeast"/>
              <w:ind w:left="180" w:leftChars="0"/>
              <w:jc w:val="both"/>
              <w:textAlignment w:val="baseline"/>
              <w:rPr>
                <w:rFonts w:hint="eastAsia" w:ascii="宋体" w:hAnsi="宋体" w:eastAsia="宋体"/>
                <w:sz w:val="24"/>
                <w:lang w:val="en-US" w:eastAsia="zh-CN"/>
              </w:rPr>
            </w:pPr>
            <w:r>
              <w:rPr>
                <w:rFonts w:hint="eastAsia" w:ascii="Times New Roman" w:hAnsi="Times New Roman" w:cs="Times New Roman"/>
                <w:sz w:val="20"/>
                <w:szCs w:val="20"/>
                <w:lang w:val="en-US" w:eastAsia="zh-CN"/>
              </w:rPr>
              <w:t>2</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提供24小时400或800免费维修服务热线，BD产品技术专家提供在线技术咨询和维修诊断。</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eastAsia="宋体"/>
                <w:sz w:val="22"/>
                <w:szCs w:val="22"/>
                <w:lang w:val="en-US" w:eastAsia="zh-CN"/>
              </w:rPr>
              <w:t>3</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设备发生故障时，初次响应时间：4小时，并提供电话技术支持。现场响应时间：第二个工作日内到达设备使用现场进行故障排查及维修。</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eastAsia="宋体"/>
                <w:sz w:val="24"/>
                <w:lang w:val="en-US" w:eastAsia="zh-CN"/>
              </w:rPr>
              <w:t>4</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工程师一年应至少免费上门2次对仪器进行检查，且至少1次按照PMI要求对仪器系统检查，更换年度保养包并出具维修报告。</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.提供无限次上门维修服务，含维修人员的工时费、差旅费（相关费用由服务供应商自行承担）。</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4303" w:type="dxa"/>
            <w:vAlign w:val="center"/>
          </w:tcPr>
          <w:p>
            <w:pPr>
              <w:spacing w:line="400" w:lineRule="exact"/>
              <w:rPr>
                <w:rFonts w:hint="eastAsia" w:ascii="Times New Roman" w:hAnsi="Times New Roman" w:cs="Times New Roman"/>
                <w:sz w:val="18"/>
                <w:szCs w:val="18"/>
              </w:rPr>
            </w:pPr>
            <w:r>
              <w:rPr>
                <w:rFonts w:hint="eastAsia" w:ascii="Times New Roman" w:hAnsi="Times New Roman" w:eastAsia="宋体" w:cs="Times New Roman"/>
                <w:sz w:val="18"/>
                <w:szCs w:val="18"/>
                <w:lang w:val="en-US" w:eastAsia="zh-CN"/>
              </w:rPr>
              <w:t>在合同期内因故障而需更换的备件，不受数量限制。</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维修所采用的全部备件，均可出示原厂检测合格证书以及中国海关总署出示的合法进口货物报关单；其中的激光器属于关键备件；所有备件可通过原厂400或800热线进行的备件信息查询。</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保证所保设备全年工作日的开机率≥95%，按照一年365天计算, 未达到的天数，按1:2比例顺延保修期时间</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合同期内，免费提供设备的改良性软件系统升级（非功能性软件升级）。</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每年度服务结束后应提交年度服务报告，包括维修情况、服务总结、设备运行情况分析、设备存在问题及建议等。</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bl>
    <w:p>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pPr>
        <w:tabs>
          <w:tab w:val="left" w:pos="142"/>
        </w:tabs>
        <w:autoSpaceDE w:val="0"/>
        <w:autoSpaceDN w:val="0"/>
        <w:spacing w:line="360" w:lineRule="auto"/>
        <w:jc w:val="both"/>
        <w:outlineLvl w:val="3"/>
        <w:rPr>
          <w:rFonts w:hint="eastAsia" w:ascii="黑体" w:hAnsi="黑体" w:eastAsia="黑体"/>
          <w:sz w:val="32"/>
          <w:szCs w:val="32"/>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pPr>
        <w:pStyle w:val="6"/>
        <w:rPr>
          <w:rFonts w:hint="eastAsia" w:ascii="黑体" w:hAnsi="黑体" w:eastAsia="黑体"/>
          <w:sz w:val="32"/>
          <w:szCs w:val="32"/>
        </w:rPr>
      </w:pPr>
    </w:p>
    <w:p>
      <w:pPr>
        <w:rPr>
          <w:rFonts w:hint="eastAsia" w:ascii="黑体" w:hAnsi="黑体" w:eastAsia="黑体"/>
          <w:sz w:val="32"/>
          <w:szCs w:val="32"/>
        </w:rPr>
      </w:pPr>
    </w:p>
    <w:p>
      <w:pPr>
        <w:pStyle w:val="6"/>
        <w:rPr>
          <w:rFonts w:hint="eastAsia" w:ascii="黑体" w:hAnsi="黑体" w:eastAsia="黑体"/>
          <w:sz w:val="32"/>
          <w:szCs w:val="32"/>
        </w:rPr>
      </w:pPr>
    </w:p>
    <w:p>
      <w:pPr>
        <w:rPr>
          <w:rFonts w:hint="eastAsia" w:ascii="黑体" w:hAnsi="黑体" w:eastAsia="黑体"/>
          <w:sz w:val="32"/>
          <w:szCs w:val="32"/>
        </w:rPr>
      </w:pPr>
    </w:p>
    <w:p>
      <w:pPr>
        <w:pStyle w:val="6"/>
        <w:rPr>
          <w:rFonts w:hint="eastAsia" w:ascii="黑体" w:hAnsi="黑体" w:eastAsia="黑体"/>
          <w:sz w:val="32"/>
          <w:szCs w:val="32"/>
        </w:rPr>
      </w:pPr>
    </w:p>
    <w:p>
      <w:pPr>
        <w:rPr>
          <w:rFonts w:hint="eastAsia" w:ascii="黑体" w:hAnsi="黑体" w:eastAsia="黑体"/>
          <w:sz w:val="32"/>
          <w:szCs w:val="32"/>
        </w:rPr>
      </w:pPr>
    </w:p>
    <w:p>
      <w:pPr>
        <w:pStyle w:val="6"/>
        <w:rPr>
          <w:rFonts w:hint="eastAsia" w:ascii="黑体" w:hAnsi="黑体" w:eastAsia="黑体"/>
          <w:sz w:val="32"/>
          <w:szCs w:val="32"/>
        </w:rPr>
      </w:pPr>
    </w:p>
    <w:p>
      <w:pPr>
        <w:rPr>
          <w:rFonts w:hint="eastAsia" w:ascii="黑体" w:hAnsi="黑体" w:eastAsia="黑体"/>
          <w:sz w:val="32"/>
          <w:szCs w:val="32"/>
        </w:rPr>
      </w:pPr>
    </w:p>
    <w:p>
      <w:pPr>
        <w:pStyle w:val="6"/>
        <w:rPr>
          <w:rFonts w:hint="eastAsia" w:ascii="黑体" w:hAnsi="黑体" w:eastAsia="黑体"/>
          <w:sz w:val="32"/>
          <w:szCs w:val="32"/>
        </w:rPr>
      </w:pPr>
    </w:p>
    <w:p>
      <w:pPr>
        <w:rPr>
          <w:rFonts w:hint="eastAsia" w:ascii="黑体" w:hAnsi="黑体" w:eastAsia="黑体"/>
          <w:sz w:val="32"/>
          <w:szCs w:val="32"/>
        </w:rPr>
      </w:pPr>
    </w:p>
    <w:p>
      <w:pPr>
        <w:pStyle w:val="6"/>
        <w:rPr>
          <w:rFonts w:hint="eastAsia" w:ascii="黑体" w:hAnsi="黑体" w:eastAsia="黑体"/>
          <w:sz w:val="32"/>
          <w:szCs w:val="32"/>
        </w:rPr>
      </w:pPr>
    </w:p>
    <w:p>
      <w:pPr>
        <w:rPr>
          <w:rFonts w:hint="eastAsia" w:ascii="黑体" w:hAnsi="黑体" w:eastAsia="黑体"/>
          <w:sz w:val="32"/>
          <w:szCs w:val="32"/>
        </w:rPr>
      </w:pPr>
    </w:p>
    <w:p>
      <w:pPr>
        <w:rPr>
          <w:rFonts w:hint="eastAsia"/>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lang w:val="en-US" w:eastAsia="zh-CN"/>
        </w:rPr>
      </w:pPr>
    </w:p>
    <w:p>
      <w:pPr>
        <w:tabs>
          <w:tab w:val="left" w:pos="142"/>
        </w:tabs>
        <w:autoSpaceDE w:val="0"/>
        <w:autoSpaceDN w:val="0"/>
        <w:spacing w:line="360" w:lineRule="auto"/>
        <w:jc w:val="center"/>
        <w:outlineLvl w:val="3"/>
        <w:rPr>
          <w:rFonts w:hint="eastAsia" w:ascii="黑体" w:hAnsi="黑体" w:eastAsia="黑体"/>
          <w:sz w:val="32"/>
          <w:szCs w:val="32"/>
          <w:lang w:val="en-US" w:eastAsia="zh-CN"/>
        </w:rPr>
      </w:pPr>
    </w:p>
    <w:p>
      <w:pPr>
        <w:tabs>
          <w:tab w:val="left" w:pos="142"/>
        </w:tabs>
        <w:autoSpaceDE w:val="0"/>
        <w:autoSpaceDN w:val="0"/>
        <w:spacing w:line="360" w:lineRule="auto"/>
        <w:jc w:val="center"/>
        <w:outlineLvl w:val="3"/>
        <w:rPr>
          <w:rFonts w:hint="eastAsia" w:ascii="黑体" w:hAnsi="黑体" w:eastAsia="黑体"/>
          <w:sz w:val="32"/>
          <w:szCs w:val="32"/>
          <w:lang w:val="en-US" w:eastAsia="zh-CN"/>
        </w:rPr>
      </w:pPr>
    </w:p>
    <w:p>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承诺函</w:t>
      </w:r>
    </w:p>
    <w:p>
      <w:pPr>
        <w:spacing w:line="480" w:lineRule="auto"/>
        <w:rPr>
          <w:b/>
          <w:sz w:val="24"/>
        </w:rPr>
      </w:pPr>
      <w:r>
        <w:rPr>
          <w:rFonts w:hint="eastAsia"/>
          <w:b/>
          <w:sz w:val="24"/>
        </w:rPr>
        <w:t>广州</w:t>
      </w:r>
      <w:r>
        <w:rPr>
          <w:rFonts w:hint="eastAsia"/>
          <w:b/>
          <w:sz w:val="24"/>
          <w:lang w:val="en-US" w:eastAsia="zh-CN"/>
        </w:rPr>
        <w:t>医科大学附属</w:t>
      </w:r>
      <w:r>
        <w:rPr>
          <w:rFonts w:hint="eastAsia"/>
          <w:b/>
          <w:sz w:val="24"/>
        </w:rPr>
        <w:t>妇女儿童医疗中心：</w:t>
      </w:r>
    </w:p>
    <w:p>
      <w:pPr>
        <w:snapToGrid w:val="0"/>
        <w:spacing w:before="156" w:beforeLines="50" w:line="480" w:lineRule="auto"/>
        <w:ind w:firstLine="600" w:firstLineChars="250"/>
        <w:rPr>
          <w:rFonts w:ascii="宋体" w:hAnsi="宋体"/>
          <w:sz w:val="24"/>
        </w:rPr>
      </w:pPr>
      <w:r>
        <w:rPr>
          <w:rFonts w:hint="eastAsia" w:ascii="宋体" w:hAnsi="宋体"/>
          <w:sz w:val="24"/>
        </w:rPr>
        <w:t>关于贵公司_____________年_____________月_____________日发布</w:t>
      </w:r>
      <w:r>
        <w:rPr>
          <w:rFonts w:hint="eastAsia" w:ascii="宋体" w:hAnsi="宋体"/>
          <w:sz w:val="24"/>
          <w:u w:val="single"/>
        </w:rPr>
        <w:t>广州</w:t>
      </w:r>
      <w:r>
        <w:rPr>
          <w:rFonts w:hint="eastAsia" w:ascii="宋体" w:hAnsi="宋体"/>
          <w:sz w:val="24"/>
          <w:u w:val="single"/>
          <w:lang w:val="en-US" w:eastAsia="zh-CN"/>
        </w:rPr>
        <w:t>医科大学附属</w:t>
      </w:r>
      <w:r>
        <w:rPr>
          <w:rFonts w:hint="eastAsia" w:ascii="宋体" w:hAnsi="宋体"/>
          <w:sz w:val="24"/>
          <w:u w:val="single"/>
        </w:rPr>
        <w:t>妇女儿童医疗中心</w:t>
      </w:r>
      <w:r>
        <w:rPr>
          <w:rFonts w:hint="eastAsia" w:ascii="宋体" w:hAnsi="宋体"/>
          <w:sz w:val="24"/>
          <w:u w:val="single"/>
          <w:lang w:val="en-US" w:eastAsia="zh-CN"/>
        </w:rPr>
        <w:t>BD流式细胞仪保修服务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pPr>
        <w:spacing w:line="480" w:lineRule="auto"/>
        <w:rPr>
          <w:spacing w:val="4"/>
          <w:sz w:val="24"/>
        </w:rPr>
      </w:pPr>
    </w:p>
    <w:p>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pPr>
        <w:spacing w:line="480" w:lineRule="auto"/>
        <w:rPr>
          <w:spacing w:val="4"/>
          <w:sz w:val="24"/>
        </w:rPr>
      </w:pPr>
      <w:r>
        <w:rPr>
          <w:rFonts w:hint="eastAsia"/>
          <w:spacing w:val="4"/>
          <w:sz w:val="24"/>
        </w:rPr>
        <w:t>日期：</w:t>
      </w:r>
    </w:p>
    <w:bookmarkEnd w:id="13"/>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pPr>
        <w:pStyle w:val="10"/>
        <w:tabs>
          <w:tab w:val="left" w:pos="567"/>
        </w:tabs>
        <w:snapToGrid w:val="0"/>
        <w:spacing w:line="360" w:lineRule="auto"/>
        <w:jc w:val="center"/>
        <w:rPr>
          <w:b/>
          <w:sz w:val="30"/>
          <w:szCs w:val="30"/>
        </w:rPr>
      </w:pPr>
      <w:r>
        <w:rPr>
          <w:rFonts w:hint="eastAsia"/>
          <w:b/>
          <w:sz w:val="30"/>
          <w:szCs w:val="30"/>
        </w:rPr>
        <w:t>医疗卫生机构医药产品廉洁购销合同</w:t>
      </w:r>
    </w:p>
    <w:p>
      <w:pPr>
        <w:spacing w:line="360" w:lineRule="auto"/>
      </w:pPr>
      <w:r>
        <w:rPr>
          <w:rFonts w:hint="eastAsia"/>
        </w:rPr>
        <w:t>甲方：广州</w:t>
      </w:r>
      <w:r>
        <w:rPr>
          <w:rFonts w:hint="eastAsia"/>
          <w:lang w:val="en-US" w:eastAsia="zh-CN"/>
        </w:rPr>
        <w:t>医科大学附属</w:t>
      </w:r>
      <w:r>
        <w:rPr>
          <w:rFonts w:hint="eastAsia"/>
        </w:rPr>
        <w:t>妇女儿童医疗中心</w:t>
      </w:r>
    </w:p>
    <w:p>
      <w:pPr>
        <w:spacing w:line="360" w:lineRule="auto"/>
      </w:pPr>
      <w:r>
        <w:t xml:space="preserve">                                      </w:t>
      </w:r>
    </w:p>
    <w:p>
      <w:pPr>
        <w:spacing w:line="360" w:lineRule="auto"/>
      </w:pPr>
      <w:r>
        <w:rPr>
          <w:rFonts w:hint="eastAsia"/>
        </w:rPr>
        <w:t>乙方：</w:t>
      </w:r>
    </w:p>
    <w:p>
      <w:pPr>
        <w:spacing w:line="360" w:lineRule="auto"/>
      </w:pPr>
    </w:p>
    <w:p>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pPr>
        <w:spacing w:line="360" w:lineRule="auto"/>
      </w:pPr>
    </w:p>
    <w:p>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pPr>
        <w:spacing w:line="360" w:lineRule="auto"/>
      </w:pPr>
    </w:p>
    <w:p>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pPr>
      <w:r>
        <w:rPr>
          <w:rFonts w:hint="eastAsia"/>
        </w:rPr>
        <w:t>　　四、严禁甲方工作人员利用任何途径和方式，为乙方统计医师个人及临床科室有关医药产品用量信息，或为乙方统计提供便利。</w:t>
      </w:r>
    </w:p>
    <w:p>
      <w:pPr>
        <w:spacing w:line="360" w:lineRule="auto"/>
      </w:pPr>
    </w:p>
    <w:p>
      <w:pPr>
        <w:spacing w:line="360" w:lineRule="auto"/>
      </w:pPr>
      <w:r>
        <w:rPr>
          <w:rFonts w:hint="eastAsia"/>
        </w:rPr>
        <w:t xml:space="preserve">    五、乙方不得以回扣、宴请等方式影响甲方工作人员采购或使用医药产品的选择权，不得在学术活动中提供旅游、超标准支付食宿费用。</w:t>
      </w:r>
    </w:p>
    <w:p>
      <w:pPr>
        <w:spacing w:line="360" w:lineRule="auto"/>
      </w:pPr>
    </w:p>
    <w:p>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Style w:val="25"/>
        <w:spacing w:line="360" w:lineRule="auto"/>
      </w:pPr>
    </w:p>
    <w:p>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pPr>
    </w:p>
    <w:p>
      <w:pPr>
        <w:spacing w:line="360" w:lineRule="auto"/>
      </w:pPr>
      <w:r>
        <w:rPr>
          <w:rFonts w:hint="eastAsia"/>
        </w:rPr>
        <w:t xml:space="preserve">    八、本合同作为医药产品购销合同的重要组成部分，与购销合同一并执行，具有同等的法律效力。</w:t>
      </w:r>
    </w:p>
    <w:p>
      <w:pPr>
        <w:spacing w:line="360" w:lineRule="auto"/>
      </w:pPr>
    </w:p>
    <w:p>
      <w:pPr>
        <w:spacing w:line="360" w:lineRule="auto"/>
      </w:pPr>
      <w:r>
        <w:rPr>
          <w:rFonts w:hint="eastAsia"/>
        </w:rPr>
        <w:t>　　九、本合同一式三份，甲、乙双方各执一份，甲方纪检监察部门执一份，并从签订之日起生效。</w:t>
      </w:r>
    </w:p>
    <w:p>
      <w:pPr>
        <w:spacing w:line="360" w:lineRule="auto"/>
      </w:pPr>
    </w:p>
    <w:p>
      <w:pPr>
        <w:spacing w:line="360" w:lineRule="auto"/>
      </w:pPr>
      <w:r>
        <w:rPr>
          <w:rFonts w:hint="eastAsia"/>
        </w:rPr>
        <w:t xml:space="preserve">  甲方（盖章）：                                乙方（盖章）：</w:t>
      </w:r>
    </w:p>
    <w:p>
      <w:pPr>
        <w:spacing w:line="360" w:lineRule="auto"/>
      </w:pPr>
      <w:r>
        <w:rPr>
          <w:rFonts w:hint="eastAsia"/>
        </w:rPr>
        <w:t xml:space="preserve">  法定代表人（负责人）：                   　   法定代表人（负责人）：</w:t>
      </w:r>
    </w:p>
    <w:p>
      <w:pPr>
        <w:spacing w:line="360" w:lineRule="auto"/>
      </w:pPr>
      <w:r>
        <w:rPr>
          <w:rFonts w:hint="eastAsia"/>
        </w:rPr>
        <w:t xml:space="preserve">  </w:t>
      </w:r>
      <w:r>
        <w:rPr>
          <w:rFonts w:hint="eastAsia"/>
          <w:lang w:eastAsia="zh-Hans"/>
        </w:rPr>
        <w:t>采购中心</w:t>
      </w:r>
      <w:r>
        <w:rPr>
          <w:rFonts w:hint="eastAsia"/>
        </w:rPr>
        <w:t>经办人签名：                          经办人签名：</w:t>
      </w:r>
    </w:p>
    <w:p>
      <w:pPr>
        <w:snapToGrid w:val="0"/>
        <w:spacing w:line="360" w:lineRule="auto"/>
        <w:rPr>
          <w:rFonts w:ascii="宋体" w:hAnsi="宋体"/>
          <w:sz w:val="24"/>
        </w:rPr>
      </w:pPr>
      <w:r>
        <w:rPr>
          <w:rFonts w:hint="eastAsia"/>
        </w:rPr>
        <w:t xml:space="preserve">     年   月   日                                     年   月   日</w:t>
      </w:r>
    </w:p>
    <w:p>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pPr>
        <w:widowControl/>
        <w:jc w:val="left"/>
      </w:pPr>
      <w:r>
        <w:rPr>
          <w:rFonts w:hint="eastAsia" w:ascii="宋体" w:hAnsi="宋体"/>
          <w:b/>
          <w:bCs/>
          <w:color w:val="000000"/>
          <w:sz w:val="24"/>
        </w:rPr>
        <w:t xml:space="preserve">不得偏离实质性条款。 </w:t>
      </w:r>
    </w:p>
    <w:p>
      <w:pPr>
        <w:snapToGrid w:val="0"/>
        <w:spacing w:line="840" w:lineRule="exact"/>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pPr>
        <w:snapToGrid w:val="0"/>
        <w:spacing w:line="840" w:lineRule="exact"/>
        <w:jc w:val="center"/>
        <w:rPr>
          <w:rFonts w:hint="eastAsia" w:ascii="宋体"/>
          <w:b/>
          <w:sz w:val="84"/>
          <w:szCs w:val="84"/>
        </w:rPr>
      </w:pPr>
      <w:r>
        <w:rPr>
          <w:rFonts w:hint="eastAsia" w:ascii="宋体"/>
          <w:b/>
          <w:sz w:val="84"/>
          <w:szCs w:val="84"/>
        </w:rPr>
        <w:t xml:space="preserve"> </w:t>
      </w:r>
    </w:p>
    <w:p>
      <w:pPr>
        <w:snapToGrid w:val="0"/>
        <w:spacing w:line="840" w:lineRule="exact"/>
        <w:jc w:val="center"/>
        <w:rPr>
          <w:rFonts w:hint="eastAsia" w:ascii="宋体"/>
          <w:b/>
          <w:sz w:val="32"/>
          <w:szCs w:val="32"/>
        </w:rPr>
      </w:pPr>
      <w:r>
        <w:rPr>
          <w:rFonts w:hint="eastAsia" w:ascii="宋体"/>
          <w:b/>
          <w:sz w:val="32"/>
          <w:szCs w:val="32"/>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u w:val="single"/>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highlight w:val="yellow"/>
          <w:u w:val="single"/>
        </w:rPr>
        <w:t xml:space="preserve">                            </w:t>
      </w:r>
      <w:r>
        <w:rPr>
          <w:rFonts w:hint="eastAsia" w:ascii="宋体" w:hAnsi="宋体"/>
          <w:b/>
          <w:sz w:val="24"/>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保修</w:t>
      </w:r>
      <w:r>
        <w:rPr>
          <w:rFonts w:hint="eastAsia" w:ascii="宋体" w:hAnsi="宋体"/>
          <w:b/>
          <w:sz w:val="24"/>
          <w:u w:val="single"/>
        </w:rPr>
        <w:t>服务</w:t>
      </w:r>
      <w:r>
        <w:rPr>
          <w:rFonts w:hint="eastAsia" w:ascii="宋体" w:hAnsi="宋体"/>
          <w:b/>
          <w:sz w:val="24"/>
          <w:highlight w:val="yellow"/>
          <w:u w:val="single"/>
        </w:rPr>
        <w:t>202</w:t>
      </w:r>
      <w:r>
        <w:rPr>
          <w:rFonts w:hint="eastAsia" w:ascii="宋体" w:hAnsi="宋体"/>
          <w:b/>
          <w:sz w:val="24"/>
          <w:highlight w:val="yellow"/>
          <w:u w:val="single"/>
          <w:lang w:val="en-US" w:eastAsia="zh-CN"/>
        </w:rPr>
        <w:t>4</w:t>
      </w:r>
      <w:r>
        <w:rPr>
          <w:rFonts w:hint="eastAsia" w:ascii="宋体" w:hAnsi="宋体"/>
          <w:b/>
          <w:sz w:val="24"/>
          <w:highlight w:val="yellow"/>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签约地点：</w:t>
      </w:r>
      <w:r>
        <w:rPr>
          <w:rFonts w:hint="eastAsia" w:ascii="宋体" w:hAnsi="宋体"/>
          <w:b/>
          <w:sz w:val="24"/>
          <w:u w:val="single"/>
        </w:rPr>
        <w:t xml:space="preserve"> 广州</w:t>
      </w:r>
      <w:r>
        <w:rPr>
          <w:rFonts w:hint="eastAsia" w:ascii="宋体" w:hAnsi="宋体"/>
          <w:b/>
          <w:sz w:val="24"/>
          <w:u w:val="single"/>
          <w:lang w:val="en-US" w:eastAsia="zh-CN"/>
        </w:rPr>
        <w:t>医科大学附属</w:t>
      </w:r>
      <w:r>
        <w:rPr>
          <w:rFonts w:hint="eastAsia" w:ascii="宋体" w:hAnsi="宋体"/>
          <w:b/>
          <w:sz w:val="24"/>
          <w:u w:val="single"/>
        </w:rPr>
        <w:t xml:space="preserve">妇女儿童医疗中心        </w:t>
      </w:r>
    </w:p>
    <w:p>
      <w:pPr>
        <w:spacing w:line="360" w:lineRule="auto"/>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widowControl/>
        <w:jc w:val="left"/>
        <w:rPr>
          <w:rFonts w:ascii="宋体" w:hAnsi="宋体"/>
          <w:b/>
        </w:rPr>
        <w:sectPr>
          <w:type w:val="nextColumn"/>
          <w:pgSz w:w="11906" w:h="16838"/>
          <w:pgMar w:top="851" w:right="1134" w:bottom="709" w:left="1134" w:header="851" w:footer="992" w:gutter="0"/>
          <w:cols w:space="720" w:num="1"/>
          <w:docGrid w:type="lines" w:linePitch="312" w:charSpace="0"/>
        </w:sectPr>
      </w:pPr>
    </w:p>
    <w:p>
      <w:pPr>
        <w:spacing w:line="360" w:lineRule="auto"/>
        <w:ind w:left="5540" w:hanging="5540" w:hangingChars="2759"/>
        <w:rPr>
          <w:rFonts w:hint="eastAsia" w:ascii="宋体" w:hAnsi="宋体"/>
          <w:b/>
          <w:sz w:val="21"/>
          <w:szCs w:val="21"/>
        </w:rPr>
      </w:pPr>
      <w:r>
        <w:rPr>
          <w:rFonts w:hint="eastAsia" w:ascii="宋体" w:hAnsi="宋体"/>
          <w:b/>
        </w:rPr>
        <w:t>甲方（需方）：广州</w:t>
      </w:r>
      <w:r>
        <w:rPr>
          <w:rFonts w:hint="eastAsia" w:ascii="宋体" w:hAnsi="宋体"/>
          <w:b/>
          <w:lang w:val="en-US" w:eastAsia="zh-CN"/>
        </w:rPr>
        <w:t>医科大学附属</w:t>
      </w:r>
      <w:r>
        <w:rPr>
          <w:rFonts w:hint="eastAsia" w:ascii="宋体" w:hAnsi="宋体"/>
          <w:b/>
        </w:rPr>
        <w:t>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pPr>
        <w:pStyle w:val="6"/>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w:t>
      </w:r>
      <w:r>
        <w:rPr>
          <w:rFonts w:hint="eastAsia" w:ascii="宋体" w:hAnsi="宋体"/>
          <w:lang w:val="en-US" w:eastAsia="zh-CN"/>
        </w:rPr>
        <w:t>医科大学附属</w:t>
      </w:r>
      <w:r>
        <w:rPr>
          <w:rFonts w:hint="eastAsia" w:ascii="宋体" w:hAnsi="宋体"/>
        </w:rPr>
        <w:t>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pPr>
        <w:widowControl/>
        <w:spacing w:line="360" w:lineRule="auto"/>
        <w:jc w:val="left"/>
        <w:rPr>
          <w:rFonts w:hint="eastAsia" w:ascii="宋体" w:hAnsi="宋体"/>
          <w:b/>
          <w:bCs/>
          <w:color w:val="E36C09"/>
        </w:rPr>
      </w:pPr>
      <w:r>
        <w:rPr>
          <w:rFonts w:hint="eastAsia" w:ascii="宋体" w:hAnsi="宋体"/>
          <w:b/>
          <w:bCs/>
        </w:rPr>
        <w:t>一、合同有效期</w:t>
      </w:r>
    </w:p>
    <w:p>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pPr>
        <w:widowControl/>
        <w:spacing w:line="360" w:lineRule="auto"/>
        <w:jc w:val="left"/>
        <w:rPr>
          <w:rFonts w:hint="eastAsia" w:ascii="宋体" w:hAnsi="宋体"/>
          <w:b/>
          <w:bCs/>
        </w:rPr>
      </w:pPr>
      <w:r>
        <w:rPr>
          <w:rFonts w:hint="eastAsia" w:ascii="宋体" w:hAnsi="宋体"/>
          <w:b/>
          <w:bCs/>
        </w:rPr>
        <w:t>二、合同维修保养服务仪器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268"/>
        <w:gridCol w:w="2599"/>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设备编码</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设备名称</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规格型号</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序列号</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03****</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  </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****0.00</w:t>
            </w:r>
          </w:p>
        </w:tc>
      </w:tr>
    </w:tbl>
    <w:p>
      <w:pPr>
        <w:widowControl/>
        <w:spacing w:line="360" w:lineRule="auto"/>
        <w:ind w:firstLine="400" w:firstLineChars="200"/>
        <w:jc w:val="left"/>
        <w:rPr>
          <w:rFonts w:hint="eastAsia" w:ascii="宋体" w:hAnsi="宋体"/>
          <w:kern w:val="2"/>
          <w:sz w:val="21"/>
          <w:szCs w:val="21"/>
        </w:rPr>
      </w:pPr>
      <w:r>
        <w:rPr>
          <w:rFonts w:hint="eastAsia" w:ascii="宋体" w:hAnsi="宋体"/>
        </w:rPr>
        <w:t>本合计总额：</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pPr>
        <w:widowControl/>
        <w:spacing w:line="336" w:lineRule="auto"/>
        <w:jc w:val="left"/>
        <w:rPr>
          <w:rFonts w:hint="eastAsia" w:ascii="宋体" w:hAnsi="宋体"/>
          <w:b/>
          <w:bCs/>
        </w:rPr>
      </w:pPr>
      <w:r>
        <w:rPr>
          <w:rFonts w:hint="eastAsia" w:ascii="宋体" w:hAnsi="宋体"/>
          <w:b/>
          <w:bCs/>
        </w:rPr>
        <w:t>三、维护保养的工作内容</w:t>
      </w:r>
    </w:p>
    <w:p>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（本合同的维保内容）</w:t>
      </w:r>
    </w:p>
    <w:p>
      <w:pPr>
        <w:pStyle w:val="6"/>
        <w:autoSpaceDE w:val="0"/>
        <w:spacing w:after="0" w:line="360" w:lineRule="auto"/>
        <w:ind w:firstLine="400" w:firstLineChars="200"/>
        <w:rPr>
          <w:rFonts w:hint="eastAsia"/>
        </w:rPr>
      </w:pPr>
      <w:r>
        <w:rPr>
          <w:rFonts w:hint="eastAsia" w:ascii="宋体" w:hAnsi="宋体"/>
        </w:rPr>
        <w:t>如服务内容较多，此处简述本合同的维保内容即可，详细保修内容可添加附件。</w:t>
      </w:r>
    </w:p>
    <w:p>
      <w:pPr>
        <w:widowControl/>
        <w:spacing w:line="336" w:lineRule="auto"/>
        <w:jc w:val="left"/>
        <w:rPr>
          <w:rFonts w:hint="eastAsia" w:ascii="宋体" w:hAnsi="宋体"/>
          <w:b/>
          <w:bCs/>
        </w:rPr>
      </w:pPr>
      <w:r>
        <w:rPr>
          <w:rFonts w:hint="eastAsia" w:ascii="宋体" w:hAnsi="宋体"/>
          <w:b/>
          <w:bCs/>
        </w:rPr>
        <w:t>四、甲方应承担的职责</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甲方发现设备发生异常情况时，应及时通知乙方。</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甲方应为乙方提供维保工作所需的供水、供电等辅助设施。</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甲方在乙方维修保养完成后，应及时确认验收并配合签署相关文件。</w:t>
      </w:r>
    </w:p>
    <w:p>
      <w:pPr>
        <w:pStyle w:val="6"/>
        <w:numPr>
          <w:ilvl w:val="0"/>
          <w:numId w:val="12"/>
        </w:numPr>
        <w:autoSpaceDE w:val="0"/>
        <w:adjustRightInd/>
        <w:spacing w:before="100" w:beforeAutospacing="1" w:after="0" w:line="360" w:lineRule="auto"/>
        <w:ind w:left="300" w:hanging="300" w:hangingChars="150"/>
        <w:textAlignment w:val="auto"/>
        <w:rPr>
          <w:rFonts w:hint="eastAsia"/>
        </w:rPr>
      </w:pPr>
      <w:r>
        <w:rPr>
          <w:rFonts w:hint="eastAsia" w:ascii="宋体" w:hAnsi="宋体"/>
        </w:rPr>
        <w:t>甲方享有对乙方的维修保养工作进行监督、管理的权利。对不符合质量标准的服务有权建议整改，对乙方不称职人员可以要求乙方更换。</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对有异议的付款项目双方应及时做好沟通，排除异议；对已确认的付款项目，应及时付款，以确保维修保养工作的顺利进行。</w:t>
      </w:r>
    </w:p>
    <w:p>
      <w:pPr>
        <w:widowControl/>
        <w:spacing w:line="336" w:lineRule="auto"/>
        <w:jc w:val="left"/>
        <w:rPr>
          <w:rFonts w:hint="eastAsia" w:ascii="宋体" w:hAnsi="宋体"/>
          <w:b/>
          <w:bCs/>
        </w:rPr>
      </w:pPr>
      <w:r>
        <w:rPr>
          <w:rFonts w:hint="eastAsia" w:ascii="宋体" w:hAnsi="宋体"/>
          <w:b/>
          <w:bCs/>
        </w:rPr>
        <w:t>五、乙方应承担的职责</w:t>
      </w:r>
    </w:p>
    <w:p>
      <w:pPr>
        <w:pStyle w:val="6"/>
        <w:autoSpaceDE w:val="0"/>
        <w:spacing w:after="0" w:line="360" w:lineRule="auto"/>
        <w:ind w:firstLine="400" w:firstLineChars="200"/>
        <w:rPr>
          <w:rFonts w:hint="eastAsia"/>
        </w:rPr>
      </w:pPr>
      <w:r>
        <w:rPr>
          <w:rFonts w:hint="eastAsia" w:ascii="宋体" w:hAnsi="宋体"/>
        </w:rPr>
        <w:t>乙方应管理好、维护好该仪器、设备，使其能正常、有序的工作，提升仪器、设备的完好率。加强平时的维护保养和操作规范工作，使其发挥最大效能，提升仪器、设备的使用率。</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响应时间</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电话响应：合同期内</w:t>
      </w:r>
      <w:r>
        <w:rPr>
          <w:rFonts w:hint="eastAsia"/>
        </w:rPr>
        <w:t>24</w:t>
      </w:r>
      <w:r>
        <w:rPr>
          <w:rFonts w:hint="eastAsia" w:ascii="宋体" w:hAnsi="宋体"/>
        </w:rPr>
        <w:t>小时提供资深工程师电话技术支持。</w:t>
      </w:r>
    </w:p>
    <w:p>
      <w:pPr>
        <w:autoSpaceDE w:val="0"/>
        <w:spacing w:line="360" w:lineRule="auto"/>
        <w:ind w:firstLine="400" w:firstLineChars="200"/>
        <w:rPr>
          <w:rFonts w:hint="eastAsia" w:ascii="宋体" w:hAnsi="宋体"/>
        </w:rPr>
      </w:pPr>
      <w:r>
        <w:rPr>
          <w:rFonts w:hint="eastAsia" w:ascii="宋体" w:hAnsi="宋体"/>
        </w:rPr>
        <w:t>本服务热线作为甲方正式的报修电话，通过此热线的报修乙方将作正式受理。同时甲方可通过此热线得到乙方的技术咨询和技术指导。</w:t>
      </w:r>
    </w:p>
    <w:p>
      <w:pPr>
        <w:autoSpaceDE w:val="0"/>
        <w:spacing w:line="360" w:lineRule="auto"/>
        <w:rPr>
          <w:rFonts w:hint="eastAsia" w:ascii="宋体" w:hAnsi="宋体"/>
        </w:rPr>
      </w:pPr>
      <w:r>
        <w:rPr>
          <w:rFonts w:hint="eastAsia" w:ascii="宋体" w:hAnsi="宋体"/>
        </w:rPr>
        <w:t>热线电话：</w:t>
      </w:r>
      <w:r>
        <w:rPr>
          <w:rFonts w:hint="eastAsia" w:ascii="宋体" w:hAnsi="宋体"/>
          <w:u w:val="single"/>
        </w:rPr>
        <w:t xml:space="preserve"> </w:t>
      </w:r>
      <w:r>
        <w:rPr>
          <w:rFonts w:hint="eastAsia" w:ascii="宋体" w:hAnsi="宋体"/>
          <w:highlight w:val="yellow"/>
          <w:u w:val="single"/>
        </w:rPr>
        <w:t xml:space="preserve">400******      </w:t>
      </w:r>
      <w:r>
        <w:rPr>
          <w:rFonts w:hint="eastAsia" w:ascii="宋体" w:hAnsi="宋体"/>
          <w:u w:val="single"/>
        </w:rPr>
        <w:t xml:space="preserve"> </w:t>
      </w:r>
      <w:r>
        <w:rPr>
          <w:rFonts w:hint="eastAsia" w:ascii="宋体" w:hAnsi="宋体"/>
        </w:rPr>
        <w:t>，公司电话：</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w:t>
      </w:r>
    </w:p>
    <w:p>
      <w:pPr>
        <w:numPr>
          <w:ilvl w:val="0"/>
          <w:numId w:val="14"/>
        </w:numPr>
        <w:autoSpaceDE w:val="0"/>
        <w:adjustRightInd/>
        <w:spacing w:line="360" w:lineRule="auto"/>
        <w:ind w:left="400" w:hanging="400" w:hangingChars="200"/>
        <w:textAlignment w:val="auto"/>
        <w:rPr>
          <w:rFonts w:hint="eastAsia"/>
        </w:rPr>
      </w:pPr>
      <w:r>
        <w:rPr>
          <w:rFonts w:hint="eastAsia" w:ascii="宋体" w:hAnsi="宋体"/>
        </w:rPr>
        <w:t>现场响应：当设备发生故障时，乙方接到甲方报修通知后迅速派遣专业技术人员前往维修，保证【</w:t>
      </w:r>
      <w:r>
        <w:rPr>
          <w:rFonts w:hint="eastAsia"/>
        </w:rPr>
        <w:t>24</w:t>
      </w:r>
      <w:r>
        <w:rPr>
          <w:rFonts w:hint="eastAsia" w:ascii="宋体" w:hAnsi="宋体"/>
        </w:rPr>
        <w:t>】小时内到达设备现场，因恶劣天气等特殊情况除外。</w:t>
      </w:r>
    </w:p>
    <w:p>
      <w:pPr>
        <w:autoSpaceDE w:val="0"/>
        <w:spacing w:line="360" w:lineRule="auto"/>
        <w:ind w:firstLine="400" w:firstLineChars="200"/>
        <w:rPr>
          <w:rFonts w:hint="eastAsia"/>
        </w:rPr>
      </w:pPr>
      <w:r>
        <w:rPr>
          <w:rFonts w:hint="eastAsia" w:ascii="宋体" w:hAnsi="宋体"/>
        </w:rPr>
        <w:t>服务时间为法定工作日</w:t>
      </w:r>
      <w:r>
        <w:rPr>
          <w:rFonts w:hint="eastAsia"/>
        </w:rPr>
        <w:t>8:00-17:00</w:t>
      </w:r>
      <w:r>
        <w:rPr>
          <w:rFonts w:hint="eastAsia" w:ascii="宋体" w:hAnsi="宋体"/>
        </w:rPr>
        <w:t>，或经甲乙双方协商，将仪器服务安排在一个我们双方都方便的时段内。</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服务规定</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在接到甲方正式报修后，首先提供电话咨询、鉴别，排除故障，并可根据实际需要作现场服务的安排。该设备的维修应在三个工作日内完成，如因故延长，应与甲方的设备科和使用部门负责人及时联系，制定出切实的维修期限。</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积极配合甲方做好该设备的档案、资料管理和操作规程的制定工作，做到每次维修、保养都有记录，建立维修档案，分析故障原因，且每年提供一份年度综合性维修维保报告。</w:t>
      </w:r>
      <w:r>
        <w:rPr>
          <w:rFonts w:hint="eastAsia"/>
        </w:rPr>
        <w:t>.</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乙方应接受甲方委派人员对维护保养质量的监督。</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做好易损配件的储备工作，以利于工作的顺利开展。</w:t>
      </w:r>
    </w:p>
    <w:p>
      <w:pPr>
        <w:autoSpaceDE w:val="0"/>
        <w:spacing w:line="360" w:lineRule="auto"/>
        <w:ind w:left="301" w:hanging="301" w:hangingChars="150"/>
        <w:rPr>
          <w:rFonts w:hint="eastAsia"/>
          <w:b/>
          <w:bCs/>
        </w:rPr>
      </w:pPr>
      <w:r>
        <w:rPr>
          <w:rFonts w:hint="eastAsia"/>
          <w:b/>
          <w:bCs/>
        </w:rPr>
        <w:t>3</w:t>
      </w:r>
      <w:r>
        <w:rPr>
          <w:rFonts w:hint="eastAsia" w:ascii="宋体" w:hAnsi="宋体"/>
          <w:b/>
          <w:bCs/>
        </w:rPr>
        <w:t>、故障部件</w:t>
      </w:r>
    </w:p>
    <w:p>
      <w:pPr>
        <w:autoSpaceDE w:val="0"/>
        <w:spacing w:line="360" w:lineRule="auto"/>
        <w:ind w:firstLine="400" w:firstLineChars="200"/>
        <w:rPr>
          <w:rFonts w:hint="eastAsia"/>
          <w:color w:val="FF0000"/>
        </w:rPr>
      </w:pPr>
      <w:r>
        <w:rPr>
          <w:rFonts w:hint="eastAsia" w:ascii="宋体" w:hAnsi="宋体"/>
        </w:rPr>
        <w:t>关于故障设备需更换的零部件，双方约定按以下执行：</w:t>
      </w:r>
    </w:p>
    <w:p>
      <w:pPr>
        <w:autoSpaceDE w:val="0"/>
        <w:spacing w:line="360" w:lineRule="auto"/>
        <w:ind w:firstLine="400" w:firstLineChars="200"/>
        <w:rPr>
          <w:rFonts w:hint="eastAsia" w:ascii="宋体" w:hAnsi="宋体"/>
        </w:rPr>
      </w:pPr>
      <w:r>
        <w:rPr>
          <w:rFonts w:hint="eastAsia" w:ascii="宋体" w:hAnsi="宋体"/>
        </w:rPr>
        <w:t>本合同</w:t>
      </w:r>
      <w:r>
        <w:rPr>
          <w:rFonts w:hint="eastAsia" w:ascii="宋体" w:hAnsi="宋体"/>
          <w:lang w:val="en-US" w:eastAsia="zh-CN"/>
        </w:rPr>
        <w:t>服务</w:t>
      </w:r>
      <w:r>
        <w:rPr>
          <w:rFonts w:hint="eastAsia" w:ascii="宋体" w:hAnsi="宋体"/>
        </w:rPr>
        <w:t>设备</w:t>
      </w:r>
      <w:r>
        <w:rPr>
          <w:rFonts w:hint="eastAsia" w:ascii="宋体" w:hAnsi="宋体"/>
          <w:lang w:eastAsia="zh-CN"/>
        </w:rPr>
        <w:t>：</w:t>
      </w:r>
      <w:r>
        <w:rPr>
          <w:rFonts w:hint="eastAsia" w:ascii="宋体" w:hAnsi="宋体"/>
          <w:lang w:val="en-US" w:eastAsia="zh-CN"/>
        </w:rPr>
        <w:t>BD流式细胞仪</w:t>
      </w:r>
      <w:r>
        <w:rPr>
          <w:rFonts w:hint="eastAsia" w:ascii="宋体" w:hAnsi="宋体"/>
        </w:rPr>
        <w:t>。</w:t>
      </w:r>
    </w:p>
    <w:p>
      <w:pPr>
        <w:numPr>
          <w:ilvl w:val="0"/>
          <w:numId w:val="16"/>
        </w:numPr>
        <w:autoSpaceDE w:val="0"/>
        <w:adjustRightInd/>
        <w:spacing w:line="360" w:lineRule="auto"/>
        <w:ind w:left="300" w:hanging="300" w:hangingChars="150"/>
        <w:textAlignment w:val="auto"/>
        <w:rPr>
          <w:rFonts w:hint="eastAsia"/>
        </w:rPr>
      </w:pPr>
      <w:r>
        <w:rPr>
          <w:rFonts w:hint="eastAsia" w:ascii="宋体" w:hAnsi="宋体"/>
        </w:rPr>
        <w:t>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w:t>
      </w:r>
    </w:p>
    <w:p>
      <w:pPr>
        <w:numPr>
          <w:ilvl w:val="0"/>
          <w:numId w:val="16"/>
        </w:numPr>
        <w:autoSpaceDE w:val="0"/>
        <w:adjustRightInd/>
        <w:spacing w:line="360" w:lineRule="auto"/>
        <w:ind w:left="300" w:hanging="300" w:hangingChars="150"/>
        <w:textAlignment w:val="auto"/>
        <w:rPr>
          <w:rFonts w:hint="eastAsia"/>
          <w:b/>
          <w:bCs/>
        </w:rPr>
      </w:pPr>
      <w:r>
        <w:rPr>
          <w:rFonts w:hint="eastAsia" w:ascii="宋体" w:hAnsi="宋体"/>
        </w:rPr>
        <w:t>乙方应当对有特殊储运条件</w:t>
      </w:r>
      <w:r>
        <w:rPr>
          <w:rFonts w:hint="eastAsia"/>
        </w:rPr>
        <w:t>(</w:t>
      </w:r>
      <w:r>
        <w:rPr>
          <w:rFonts w:hint="eastAsia" w:ascii="宋体" w:hAnsi="宋体"/>
        </w:rPr>
        <w:t xml:space="preserve">如温度 </w:t>
      </w:r>
      <w:r>
        <w:rPr>
          <w:rFonts w:hint="eastAsia"/>
        </w:rPr>
        <w:t xml:space="preserve">/ </w:t>
      </w:r>
      <w:r>
        <w:rPr>
          <w:rFonts w:hint="eastAsia" w:ascii="宋体" w:hAnsi="宋体"/>
        </w:rPr>
        <w:t xml:space="preserve">湿度 </w:t>
      </w:r>
      <w:r>
        <w:rPr>
          <w:rFonts w:hint="eastAsia"/>
        </w:rPr>
        <w:t xml:space="preserve">/ </w:t>
      </w:r>
      <w:r>
        <w:rPr>
          <w:rFonts w:hint="eastAsia" w:ascii="宋体" w:hAnsi="宋体"/>
        </w:rPr>
        <w:t>防止倾斜等标识</w:t>
      </w:r>
      <w:r>
        <w:rPr>
          <w:rFonts w:hint="eastAsia"/>
        </w:rPr>
        <w:t>)</w:t>
      </w:r>
      <w:r>
        <w:rPr>
          <w:rFonts w:hint="eastAsia" w:ascii="宋体" w:hAnsi="宋体"/>
        </w:rPr>
        <w:t>的产品提供合适的储运条件，若由于乙方储运不当而产生的零部件质量问题，由此产生的一切损失由乙方承担。</w:t>
      </w:r>
    </w:p>
    <w:p>
      <w:pPr>
        <w:numPr>
          <w:ilvl w:val="0"/>
          <w:numId w:val="0"/>
        </w:numPr>
        <w:autoSpaceDE w:val="0"/>
        <w:adjustRightInd/>
        <w:spacing w:line="360" w:lineRule="auto"/>
        <w:textAlignment w:val="auto"/>
        <w:rPr>
          <w:rFonts w:hint="eastAsia"/>
          <w:b/>
          <w:bCs/>
        </w:rPr>
      </w:pPr>
      <w:r>
        <w:rPr>
          <w:rFonts w:hint="eastAsia" w:ascii="宋体" w:hAnsi="宋体"/>
          <w:b/>
          <w:bCs/>
          <w:lang w:val="en-US" w:eastAsia="zh-CN"/>
        </w:rPr>
        <w:t>4、</w:t>
      </w:r>
      <w:r>
        <w:rPr>
          <w:rFonts w:hint="eastAsia" w:ascii="宋体" w:hAnsi="宋体"/>
          <w:b/>
          <w:bCs/>
        </w:rPr>
        <w:t>预防性维保</w:t>
      </w:r>
    </w:p>
    <w:p>
      <w:pPr>
        <w:autoSpaceDE w:val="0"/>
        <w:spacing w:line="360" w:lineRule="auto"/>
        <w:ind w:firstLine="400" w:firstLineChars="200"/>
        <w:rPr>
          <w:rFonts w:hint="eastAsia" w:ascii="宋体" w:hAnsi="宋体"/>
        </w:rPr>
      </w:pPr>
      <w:r>
        <w:rPr>
          <w:rFonts w:hint="eastAsia" w:ascii="宋体" w:hAnsi="宋体"/>
        </w:rPr>
        <w:t>每年</w:t>
      </w:r>
      <w:r>
        <w:rPr>
          <w:rFonts w:hint="eastAsia" w:ascii="宋体" w:hAnsi="宋体"/>
          <w:highlight w:val="yellow"/>
        </w:rPr>
        <w:t>【</w:t>
      </w:r>
      <w:r>
        <w:rPr>
          <w:rFonts w:hint="eastAsia"/>
          <w:highlight w:val="yellow"/>
        </w:rPr>
        <w:t xml:space="preserve"> * </w:t>
      </w:r>
      <w:r>
        <w:rPr>
          <w:rFonts w:hint="eastAsia" w:ascii="宋体" w:hAnsi="宋体"/>
          <w:highlight w:val="yellow"/>
        </w:rPr>
        <w:t>】</w:t>
      </w:r>
      <w:r>
        <w:rPr>
          <w:rFonts w:hint="eastAsia" w:ascii="宋体" w:hAnsi="宋体"/>
        </w:rPr>
        <w:t>次派专业技术人员对设备进行预防性维保服务，更换保养件，并提供详细的保养报告（保养报告见</w:t>
      </w:r>
      <w:r>
        <w:rPr>
          <w:rFonts w:hint="eastAsia" w:ascii="宋体" w:hAnsi="宋体"/>
          <w:highlight w:val="yellow"/>
        </w:rPr>
        <w:t>附件</w:t>
      </w:r>
      <w:r>
        <w:rPr>
          <w:rFonts w:hint="eastAsia" w:ascii="宋体" w:hAnsi="宋体"/>
        </w:rPr>
        <w:t>）。</w:t>
      </w:r>
    </w:p>
    <w:p>
      <w:pPr>
        <w:pStyle w:val="6"/>
        <w:numPr>
          <w:ilvl w:val="0"/>
          <w:numId w:val="17"/>
        </w:numPr>
        <w:autoSpaceDE w:val="0"/>
        <w:adjustRightInd/>
        <w:spacing w:before="100" w:beforeAutospacing="1" w:after="0" w:line="360" w:lineRule="auto"/>
        <w:ind w:left="402" w:hanging="402" w:hangingChars="200"/>
        <w:textAlignment w:val="auto"/>
        <w:rPr>
          <w:rFonts w:hint="eastAsia" w:ascii="宋体" w:hAnsi="宋体"/>
          <w:b/>
          <w:bCs/>
        </w:rPr>
      </w:pPr>
      <w:r>
        <w:rPr>
          <w:rFonts w:hint="eastAsia" w:ascii="宋体" w:hAnsi="宋体"/>
          <w:b/>
          <w:bCs/>
        </w:rPr>
        <w:t>其他职责</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乙方应负责其员工的人身保险，工作人员应具有相应从业资格。</w:t>
      </w:r>
    </w:p>
    <w:p>
      <w:pPr>
        <w:pStyle w:val="6"/>
        <w:numPr>
          <w:ilvl w:val="0"/>
          <w:numId w:val="18"/>
        </w:numPr>
        <w:autoSpaceDE w:val="0"/>
        <w:adjustRightInd/>
        <w:spacing w:before="100" w:beforeAutospacing="1" w:after="0" w:line="360" w:lineRule="auto"/>
        <w:textAlignment w:val="auto"/>
        <w:rPr>
          <w:rFonts w:hint="eastAsia" w:ascii="宋体" w:hAnsi="宋体"/>
        </w:rPr>
      </w:pPr>
      <w:r>
        <w:rPr>
          <w:rFonts w:hint="eastAsia" w:ascii="宋体" w:hAnsi="宋体"/>
        </w:rPr>
        <w:t>乙方工作人员如在维保期间因疏忽行为或疏忽不作为引起的任何第三方人身伤害（包括死亡）或财产损失索赔，产生的一切损失赔偿由乙方承担。</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乙方在向甲方提供维保服务时，免收甲方的维修费（工时费）和差旅费（交通费、住宿费）；</w:t>
      </w:r>
    </w:p>
    <w:p>
      <w:pPr>
        <w:widowControl/>
        <w:spacing w:line="336" w:lineRule="auto"/>
        <w:jc w:val="left"/>
        <w:rPr>
          <w:rFonts w:hint="eastAsia" w:ascii="宋体" w:hAnsi="宋体"/>
          <w:b/>
          <w:bCs/>
        </w:rPr>
      </w:pPr>
      <w:r>
        <w:rPr>
          <w:rFonts w:hint="eastAsia" w:ascii="宋体" w:hAnsi="宋体"/>
          <w:b/>
          <w:bCs/>
        </w:rPr>
        <w:t>六、付款方法</w:t>
      </w:r>
    </w:p>
    <w:p>
      <w:pPr>
        <w:autoSpaceDE w:val="0"/>
        <w:autoSpaceDN w:val="0"/>
        <w:spacing w:line="360" w:lineRule="auto"/>
        <w:ind w:left="400" w:leftChars="200"/>
        <w:jc w:val="left"/>
        <w:rPr>
          <w:rFonts w:hint="eastAsia" w:ascii="宋体" w:hAnsi="宋体"/>
          <w:kern w:val="21"/>
          <w:highlight w:val="yellow"/>
        </w:rPr>
      </w:pPr>
      <w:r>
        <w:rPr>
          <w:rFonts w:hint="eastAsia" w:ascii="宋体" w:hAnsi="宋体"/>
          <w:kern w:val="21"/>
          <w:highlight w:val="yellow"/>
        </w:rPr>
        <w:t>以用户需求书为准。</w:t>
      </w:r>
    </w:p>
    <w:p>
      <w:pPr>
        <w:spacing w:line="360" w:lineRule="auto"/>
        <w:rPr>
          <w:rFonts w:hint="eastAsia"/>
          <w:b/>
          <w:kern w:val="2"/>
        </w:rPr>
      </w:pPr>
      <w:r>
        <w:rPr>
          <w:rFonts w:hint="eastAsia" w:ascii="宋体" w:hAnsi="宋体"/>
          <w:b/>
        </w:rPr>
        <w:t>七</w:t>
      </w:r>
      <w:r>
        <w:rPr>
          <w:rFonts w:ascii="宋体" w:hAnsi="宋体"/>
          <w:b/>
        </w:rPr>
        <w:t>、违约责任</w:t>
      </w:r>
    </w:p>
    <w:p>
      <w:pPr>
        <w:autoSpaceDE w:val="0"/>
        <w:autoSpaceDN w:val="0"/>
        <w:spacing w:line="360" w:lineRule="auto"/>
        <w:ind w:left="300" w:hanging="300" w:hangingChars="150"/>
        <w:jc w:val="left"/>
        <w:rPr>
          <w:rFonts w:ascii="宋体" w:hAnsi="宋体"/>
          <w:color w:val="000000"/>
          <w:kern w:val="21"/>
        </w:rPr>
      </w:pPr>
      <w:r>
        <w:rPr>
          <w:rFonts w:hint="eastAsia" w:ascii="宋体" w:hAnsi="宋体"/>
          <w:kern w:val="21"/>
        </w:rPr>
        <w:t>1、乙方出现维修能力和零部件供货能力不足的现象以至甲方有理由相信乙方无继续履约能力，甲方有权终止合同，并要求乙方对其违约行为给甲方造成的损失进行</w:t>
      </w:r>
      <w:r>
        <w:rPr>
          <w:rFonts w:hint="eastAsia" w:ascii="宋体" w:hAnsi="宋体"/>
          <w:color w:val="000000"/>
          <w:kern w:val="21"/>
        </w:rPr>
        <w:t>赔偿。（合同总金额5%）</w:t>
      </w:r>
    </w:p>
    <w:p>
      <w:pPr>
        <w:pStyle w:val="6"/>
        <w:autoSpaceDE w:val="0"/>
        <w:spacing w:after="0" w:line="360" w:lineRule="auto"/>
        <w:ind w:left="300" w:hanging="300" w:hangingChars="150"/>
        <w:rPr>
          <w:rFonts w:hint="eastAsia" w:ascii="宋体" w:hAnsi="宋体"/>
          <w:kern w:val="21"/>
        </w:rPr>
      </w:pPr>
      <w:r>
        <w:rPr>
          <w:rFonts w:hint="eastAsia"/>
        </w:rPr>
        <w:t>2</w:t>
      </w:r>
      <w:r>
        <w:rPr>
          <w:rFonts w:hint="eastAsia" w:ascii="宋体" w:hAnsi="宋体"/>
        </w:rPr>
        <w:t>、</w:t>
      </w:r>
      <w:r>
        <w:rPr>
          <w:rFonts w:hint="eastAsia" w:ascii="宋体" w:hAnsi="宋体"/>
          <w:kern w:val="21"/>
        </w:rPr>
        <w:t>乙方擅自将本项目转让或分包给他人的，甲方有权终止合同，并要求乙方对其违约行为给甲方造成的损失进行赔偿。</w:t>
      </w:r>
    </w:p>
    <w:p>
      <w:pPr>
        <w:pStyle w:val="6"/>
        <w:autoSpaceDE w:val="0"/>
        <w:spacing w:after="0" w:line="360" w:lineRule="auto"/>
        <w:ind w:left="300" w:hanging="300" w:hangingChars="150"/>
        <w:rPr>
          <w:rFonts w:hint="eastAsia"/>
          <w:kern w:val="2"/>
        </w:rPr>
      </w:pPr>
      <w:r>
        <w:rPr>
          <w:rFonts w:hint="eastAsia" w:ascii="宋体" w:hAnsi="宋体"/>
          <w:kern w:val="21"/>
        </w:rPr>
        <w:t>3、</w:t>
      </w:r>
      <w:r>
        <w:rPr>
          <w:rFonts w:hint="eastAsia" w:ascii="宋体" w:hAnsi="宋体"/>
        </w:rPr>
        <w:t>甲方认为乙方供货质量与合同不符的，双方协商不成时，经鉴定乙方所供物品确为伪劣商品的，甲方有权终止合同，乙方应承担物品的检测费和相关的违约费。</w:t>
      </w:r>
    </w:p>
    <w:p>
      <w:pPr>
        <w:pStyle w:val="6"/>
        <w:autoSpaceDE w:val="0"/>
        <w:spacing w:after="0" w:line="360" w:lineRule="auto"/>
        <w:ind w:left="300" w:hanging="300" w:hangingChars="150"/>
        <w:rPr>
          <w:rFonts w:hint="eastAsia" w:ascii="宋体" w:hAnsi="宋体"/>
          <w:kern w:val="21"/>
        </w:rPr>
      </w:pPr>
      <w:r>
        <w:rPr>
          <w:rFonts w:hint="eastAsia" w:ascii="宋体" w:hAnsi="宋体"/>
          <w:kern w:val="21"/>
        </w:rPr>
        <w:t>4、乙方如经有关部门证明确因不可抗力无法按时交货，甲方仍需要乙方供货的，乙方可以延迟交货，不按违约处理。</w:t>
      </w:r>
    </w:p>
    <w:p>
      <w:pPr>
        <w:pStyle w:val="6"/>
        <w:autoSpaceDE w:val="0"/>
        <w:spacing w:after="0" w:line="360" w:lineRule="auto"/>
        <w:ind w:left="300" w:hanging="300" w:hangingChars="150"/>
        <w:rPr>
          <w:rFonts w:hint="eastAsia" w:ascii="宋体" w:hAnsi="宋体"/>
          <w:kern w:val="21"/>
        </w:rPr>
      </w:pPr>
      <w:r>
        <w:rPr>
          <w:rFonts w:hint="eastAsia" w:ascii="宋体" w:hAnsi="宋体"/>
          <w:kern w:val="21"/>
        </w:rPr>
        <w:t>5、</w:t>
      </w:r>
      <w:r>
        <w:rPr>
          <w:rFonts w:hint="eastAsia" w:ascii="宋体" w:hAnsi="宋体"/>
          <w:color w:val="000000"/>
        </w:rPr>
        <w:t>因乙方原因，乙方未按合同约定向甲方提供维保服务的，甲方有权要求乙方承担违约责任。且乙方仍应继续履行相关合同义务。</w:t>
      </w:r>
    </w:p>
    <w:p>
      <w:pPr>
        <w:pStyle w:val="6"/>
        <w:autoSpaceDE w:val="0"/>
        <w:spacing w:after="0" w:line="360" w:lineRule="auto"/>
        <w:ind w:left="300" w:hanging="300" w:hangingChars="150"/>
        <w:rPr>
          <w:rFonts w:hint="eastAsia"/>
          <w:kern w:val="2"/>
        </w:rPr>
      </w:pPr>
      <w:r>
        <w:rPr>
          <w:rFonts w:hint="eastAsia"/>
        </w:rPr>
        <w:t>6</w:t>
      </w:r>
      <w:r>
        <w:rPr>
          <w:rFonts w:hint="eastAsia" w:ascii="宋体" w:hAnsi="宋体"/>
        </w:rPr>
        <w:t>、任何一方未按合同约定履行义务，经对方书面催告</w:t>
      </w:r>
      <w:r>
        <w:rPr>
          <w:rFonts w:hint="eastAsia"/>
        </w:rPr>
        <w:t>30</w:t>
      </w:r>
      <w:r>
        <w:rPr>
          <w:rFonts w:hint="eastAsia" w:ascii="宋体" w:hAnsi="宋体"/>
        </w:rPr>
        <w:t>日内仍未改正的，守约方有权向对方发出书面通知单方解除合同，且不承担任何违约责任。</w:t>
      </w:r>
    </w:p>
    <w:p>
      <w:pPr>
        <w:autoSpaceDE w:val="0"/>
        <w:autoSpaceDN w:val="0"/>
        <w:spacing w:line="336" w:lineRule="auto"/>
        <w:jc w:val="left"/>
        <w:rPr>
          <w:rFonts w:hint="eastAsia" w:ascii="宋体" w:hAnsi="宋体"/>
          <w:b/>
          <w:bCs/>
          <w:kern w:val="21"/>
        </w:rPr>
      </w:pPr>
      <w:r>
        <w:rPr>
          <w:rFonts w:hint="eastAsia" w:ascii="宋体" w:hAnsi="宋体"/>
          <w:b/>
          <w:bCs/>
          <w:kern w:val="21"/>
        </w:rPr>
        <w:t>八、不可抗力</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1、不可抗力指战争、严重火灾、洪水、台风、地震等或其它双方认定的不可抗力事件。</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widowControl/>
        <w:spacing w:line="336" w:lineRule="auto"/>
        <w:jc w:val="left"/>
        <w:rPr>
          <w:rFonts w:hint="eastAsia" w:ascii="宋体" w:hAnsi="宋体"/>
          <w:b/>
          <w:bCs/>
          <w:kern w:val="2"/>
        </w:rPr>
      </w:pPr>
      <w:r>
        <w:rPr>
          <w:rFonts w:hint="eastAsia" w:ascii="宋体" w:hAnsi="宋体"/>
          <w:b/>
          <w:bCs/>
        </w:rPr>
        <w:t>九、双方应承担的法律责任</w:t>
      </w:r>
    </w:p>
    <w:p>
      <w:pPr>
        <w:widowControl/>
        <w:autoSpaceDE w:val="0"/>
        <w:spacing w:line="360" w:lineRule="auto"/>
        <w:ind w:left="300" w:hanging="300" w:hangingChars="150"/>
        <w:jc w:val="left"/>
        <w:rPr>
          <w:rFonts w:hint="eastAsia" w:ascii="宋体" w:hAnsi="宋体"/>
        </w:rPr>
      </w:pPr>
      <w:r>
        <w:rPr>
          <w:rFonts w:hint="eastAsia" w:ascii="宋体" w:hAnsi="宋体"/>
        </w:rPr>
        <w:t>1、凡因本合同的效力、履行、解释等发生的一切争议，双方均应首先友好协商解决，协商不成时，双方均可提交广州仲裁委员会仲裁解决。</w:t>
      </w:r>
    </w:p>
    <w:p>
      <w:pPr>
        <w:widowControl/>
        <w:autoSpaceDE w:val="0"/>
        <w:spacing w:line="360" w:lineRule="auto"/>
        <w:ind w:left="300" w:hanging="300" w:hangingChars="150"/>
        <w:jc w:val="left"/>
        <w:rPr>
          <w:rFonts w:hint="eastAsia" w:ascii="宋体" w:hAnsi="宋体"/>
        </w:rPr>
      </w:pPr>
      <w:r>
        <w:rPr>
          <w:rFonts w:hint="eastAsia" w:ascii="宋体" w:hAnsi="宋体"/>
        </w:rPr>
        <w:t>2、甲、乙双方均应严格信守本合同，不得随意变更或解除合同（双方协商一致并签署书面文件的除外）。</w:t>
      </w:r>
    </w:p>
    <w:p>
      <w:pPr>
        <w:widowControl/>
        <w:autoSpaceDE w:val="0"/>
        <w:spacing w:line="360" w:lineRule="auto"/>
        <w:ind w:left="300" w:hanging="300" w:hangingChars="150"/>
        <w:jc w:val="left"/>
        <w:rPr>
          <w:rFonts w:hint="eastAsia" w:ascii="宋体" w:hAnsi="宋体"/>
        </w:rPr>
      </w:pPr>
      <w:r>
        <w:rPr>
          <w:rFonts w:hint="eastAsia" w:ascii="宋体" w:hAnsi="宋体"/>
        </w:rPr>
        <w:t>3、双方另行协商并签署书面协议是本合同不可分割的部分，与本合同具有同等法律效力。</w:t>
      </w:r>
    </w:p>
    <w:p>
      <w:pPr>
        <w:spacing w:line="336" w:lineRule="auto"/>
        <w:ind w:left="502" w:hanging="502" w:hangingChars="250"/>
        <w:rPr>
          <w:rFonts w:hint="eastAsia" w:ascii="宋体" w:hAnsi="宋体"/>
          <w:b/>
          <w:bCs/>
          <w:color w:val="000000"/>
        </w:rPr>
      </w:pPr>
      <w:r>
        <w:rPr>
          <w:rFonts w:hint="eastAsia" w:ascii="宋体" w:hAnsi="宋体"/>
          <w:b/>
          <w:bCs/>
          <w:color w:val="000000"/>
        </w:rPr>
        <w:t>十、其他</w:t>
      </w:r>
    </w:p>
    <w:p>
      <w:pPr>
        <w:spacing w:line="336" w:lineRule="auto"/>
        <w:rPr>
          <w:rFonts w:hint="eastAsia" w:ascii="宋体" w:hAnsi="宋体"/>
          <w:color w:val="000000"/>
        </w:rPr>
      </w:pPr>
      <w:r>
        <w:rPr>
          <w:rFonts w:hint="eastAsia" w:ascii="宋体" w:hAnsi="宋体"/>
          <w:color w:val="000000"/>
        </w:rPr>
        <w:t>1、本合同正本一式</w:t>
      </w:r>
      <w:r>
        <w:rPr>
          <w:rFonts w:hint="eastAsia" w:ascii="宋体" w:hAnsi="宋体"/>
          <w:color w:val="000000"/>
          <w:u w:val="single"/>
        </w:rPr>
        <w:t xml:space="preserve">  </w:t>
      </w:r>
      <w:r>
        <w:rPr>
          <w:rFonts w:hint="eastAsia" w:ascii="宋体" w:hAnsi="宋体"/>
          <w:color w:val="000000"/>
          <w:u w:val="single"/>
          <w:lang w:val="en-US" w:eastAsia="zh-CN"/>
        </w:rPr>
        <w:t>陆</w:t>
      </w:r>
      <w:r>
        <w:rPr>
          <w:rFonts w:hint="eastAsia" w:ascii="宋体" w:hAnsi="宋体"/>
          <w:color w:val="000000"/>
          <w:u w:val="single"/>
        </w:rPr>
        <w:t xml:space="preserve">  </w:t>
      </w:r>
      <w:r>
        <w:rPr>
          <w:rFonts w:hint="eastAsia" w:ascii="宋体" w:hAnsi="宋体"/>
          <w:color w:val="000000"/>
        </w:rPr>
        <w:t>份，甲方</w:t>
      </w:r>
      <w:r>
        <w:rPr>
          <w:rFonts w:hint="eastAsia" w:ascii="宋体" w:hAnsi="宋体"/>
          <w:color w:val="000000"/>
          <w:u w:val="single"/>
        </w:rPr>
        <w:t xml:space="preserve">  肆  </w:t>
      </w:r>
      <w:r>
        <w:rPr>
          <w:rFonts w:hint="eastAsia" w:ascii="宋体" w:hAnsi="宋体"/>
          <w:color w:val="000000"/>
        </w:rPr>
        <w:t>份，乙方</w:t>
      </w:r>
      <w:r>
        <w:rPr>
          <w:rFonts w:hint="eastAsia" w:ascii="宋体" w:hAnsi="宋体"/>
          <w:color w:val="000000"/>
          <w:u w:val="single"/>
        </w:rPr>
        <w:t xml:space="preserve">  贰  </w:t>
      </w:r>
      <w:r>
        <w:rPr>
          <w:rFonts w:hint="eastAsia" w:ascii="宋体" w:hAnsi="宋体"/>
          <w:color w:val="000000"/>
        </w:rPr>
        <w:t>份。</w:t>
      </w:r>
    </w:p>
    <w:p>
      <w:pPr>
        <w:spacing w:line="336" w:lineRule="auto"/>
        <w:ind w:left="500" w:hanging="500" w:hangingChars="250"/>
        <w:rPr>
          <w:rFonts w:hint="eastAsia" w:ascii="宋体" w:hAnsi="宋体"/>
        </w:rPr>
      </w:pPr>
      <w:r>
        <w:rPr>
          <w:rFonts w:hint="eastAsia" w:ascii="宋体" w:hAnsi="宋体"/>
        </w:rPr>
        <w:t xml:space="preserve">2、本合同自双方签订之日起正式生效，履行完成后自动终止。 </w:t>
      </w:r>
    </w:p>
    <w:p>
      <w:pPr>
        <w:pStyle w:val="6"/>
        <w:rPr>
          <w:rFonts w:hint="eastAsia" w:ascii="宋体" w:hAnsi="宋体"/>
        </w:rPr>
      </w:pPr>
      <w:r>
        <w:rPr>
          <w:rFonts w:hint="eastAsia" w:ascii="宋体" w:hAnsi="宋体"/>
        </w:rPr>
        <w:t xml:space="preserve"> </w:t>
      </w:r>
    </w:p>
    <w:p>
      <w:pPr>
        <w:widowControl/>
        <w:spacing w:line="360" w:lineRule="auto"/>
        <w:jc w:val="left"/>
        <w:rPr>
          <w:rFonts w:hint="eastAsia" w:ascii="宋体" w:hAnsi="宋体"/>
          <w:sz w:val="24"/>
        </w:rPr>
      </w:pPr>
      <w:r>
        <w:rPr>
          <w:rFonts w:hint="eastAsia" w:ascii="宋体" w:hAnsi="宋体"/>
          <w:sz w:val="24"/>
        </w:rPr>
        <w:t xml:space="preserve"> </w:t>
      </w:r>
    </w:p>
    <w:p>
      <w:pPr>
        <w:pStyle w:val="6"/>
        <w:rPr>
          <w:rFonts w:hint="eastAsia"/>
          <w:sz w:val="21"/>
          <w:szCs w:val="21"/>
        </w:rPr>
      </w:pPr>
      <w:r>
        <w:rPr>
          <w:rFonts w:hint="eastAsia"/>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甲方：广州</w:t>
      </w:r>
      <w:r>
        <w:rPr>
          <w:rFonts w:hint="eastAsia" w:ascii="黑体" w:hAnsi="黑体" w:eastAsia="黑体"/>
          <w:lang w:val="en-US" w:eastAsia="zh-CN"/>
        </w:rPr>
        <w:t>医科大学附属</w:t>
      </w:r>
      <w:r>
        <w:rPr>
          <w:rFonts w:hint="eastAsia" w:ascii="黑体" w:hAnsi="黑体" w:eastAsia="黑体"/>
        </w:rPr>
        <w:t>妇女儿童医疗中心</w:t>
      </w:r>
      <w:r>
        <w:rPr>
          <w:rFonts w:hint="eastAsia" w:ascii="黑体" w:eastAsia="黑体"/>
        </w:rPr>
        <w:t xml:space="preserve">                 </w:t>
      </w:r>
      <w:r>
        <w:rPr>
          <w:rFonts w:hint="eastAsia" w:ascii="黑体" w:hAnsi="黑体" w:eastAsia="黑体"/>
        </w:rPr>
        <w:t>乙方：</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法定代表人：</w:t>
      </w:r>
      <w:r>
        <w:rPr>
          <w:rFonts w:hint="eastAsia" w:ascii="黑体" w:eastAsia="黑体"/>
        </w:rPr>
        <w:t xml:space="preserve"> </w:t>
      </w:r>
      <w:r>
        <w:rPr>
          <w:rFonts w:hint="eastAsia" w:ascii="黑体" w:hAnsi="黑体" w:eastAsia="黑体"/>
          <w:lang w:val="en-US" w:eastAsia="zh-CN"/>
        </w:rPr>
        <w:t>周文浩</w:t>
      </w:r>
      <w:r>
        <w:rPr>
          <w:rFonts w:hint="eastAsia" w:ascii="黑体" w:eastAsia="黑体"/>
        </w:rPr>
        <w:t xml:space="preserve">                          </w:t>
      </w:r>
      <w:r>
        <w:rPr>
          <w:rFonts w:hint="eastAsia" w:ascii="黑体" w:hAnsi="黑体" w:eastAsia="黑体"/>
        </w:rPr>
        <w:t>法定代表人：</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签约代表：</w:t>
      </w:r>
      <w:r>
        <w:rPr>
          <w:rFonts w:hint="eastAsia" w:ascii="黑体" w:eastAsia="黑体"/>
        </w:rPr>
        <w:t xml:space="preserve">                                   </w:t>
      </w:r>
      <w:r>
        <w:rPr>
          <w:rFonts w:hint="eastAsia" w:ascii="黑体" w:hAnsi="黑体" w:eastAsia="黑体"/>
        </w:rPr>
        <w:t>签约代表：</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采购中心负责人：</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采购中心经办人：</w:t>
      </w:r>
      <w:r>
        <w:rPr>
          <w:rFonts w:hint="eastAsia" w:ascii="黑体" w:eastAsia="黑体"/>
        </w:rPr>
        <w:t xml:space="preserve">                             </w:t>
      </w:r>
      <w:r>
        <w:rPr>
          <w:rFonts w:hint="eastAsia" w:ascii="黑体" w:hAnsi="黑体" w:eastAsia="黑体"/>
        </w:rPr>
        <w:t>经办人：</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地址：广州市金穗路9号</w:t>
      </w:r>
      <w:r>
        <w:rPr>
          <w:rFonts w:hint="eastAsia" w:ascii="黑体" w:eastAsia="黑体"/>
        </w:rPr>
        <w:t xml:space="preserve">                       </w:t>
      </w:r>
      <w:r>
        <w:rPr>
          <w:rFonts w:hint="eastAsia" w:ascii="黑体" w:hAnsi="黑体" w:eastAsia="黑体"/>
        </w:rPr>
        <w:t>地址：</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 xml:space="preserve">电话：020-38076626 </w:t>
      </w:r>
      <w:r>
        <w:rPr>
          <w:rFonts w:hint="eastAsia" w:ascii="黑体" w:eastAsia="黑体"/>
        </w:rPr>
        <w:t xml:space="preserve"> </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hint="eastAsia" w:ascii="黑体" w:hAnsi="黑体" w:eastAsia="黑体"/>
        </w:rPr>
        <w:t>电话：</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传真：020-38367875</w:t>
      </w:r>
      <w:r>
        <w:rPr>
          <w:rFonts w:hint="eastAsia" w:ascii="黑体" w:eastAsia="黑体"/>
        </w:rPr>
        <w:t xml:space="preserve">                           </w:t>
      </w:r>
      <w:r>
        <w:rPr>
          <w:rFonts w:hint="eastAsia" w:ascii="黑体" w:hAnsi="黑体" w:eastAsia="黑体"/>
        </w:rPr>
        <w:t>传真：</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统一社会信用代码：124401006832921365</w:t>
      </w:r>
      <w:r>
        <w:rPr>
          <w:rFonts w:hint="eastAsia" w:ascii="黑体" w:eastAsia="黑体"/>
        </w:rPr>
        <w:t xml:space="preserve">         </w:t>
      </w:r>
      <w:r>
        <w:rPr>
          <w:rFonts w:hint="eastAsia" w:ascii="黑体" w:hAnsi="黑体" w:eastAsia="黑体"/>
        </w:rPr>
        <w:t>统一社会信用代码：</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开户银行：招商银行广州人民中路支行</w:t>
      </w:r>
      <w:r>
        <w:rPr>
          <w:rFonts w:hint="eastAsia" w:ascii="黑体" w:eastAsia="黑体"/>
        </w:rPr>
        <w:t xml:space="preserve">           </w:t>
      </w:r>
      <w:r>
        <w:rPr>
          <w:rFonts w:hint="eastAsia" w:ascii="黑体" w:hAnsi="黑体" w:eastAsia="黑体"/>
        </w:rPr>
        <w:t>开户银行：</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帐</w:t>
      </w:r>
      <w:r>
        <w:rPr>
          <w:rFonts w:hint="eastAsia" w:ascii="黑体" w:eastAsia="黑体"/>
        </w:rPr>
        <w:t xml:space="preserve">    </w:t>
      </w:r>
      <w:r>
        <w:rPr>
          <w:rFonts w:hint="eastAsia" w:ascii="黑体" w:hAnsi="黑体" w:eastAsia="黑体"/>
        </w:rPr>
        <w:t>号：120906481310503                    帐    号：</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r>
        <w:rPr>
          <w:rFonts w:hint="eastAsia" w:ascii="黑体" w:eastAsia="黑体"/>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spacing w:line="360" w:lineRule="auto"/>
        <w:rPr>
          <w:rFonts w:hint="eastAsia"/>
          <w:sz w:val="32"/>
          <w:szCs w:val="32"/>
        </w:rPr>
      </w:pPr>
      <w:r>
        <w:br w:type="page"/>
      </w:r>
      <w:r>
        <w:rPr>
          <w:rFonts w:hint="eastAsia" w:ascii="宋体" w:hAnsi="宋体"/>
          <w:b/>
          <w:bCs/>
          <w:sz w:val="32"/>
          <w:szCs w:val="32"/>
          <w:highlight w:val="yellow"/>
        </w:rPr>
        <w:t>附件：保修内容（详细）</w:t>
      </w:r>
    </w:p>
    <w:p>
      <w:pPr>
        <w:spacing w:line="360" w:lineRule="auto"/>
        <w:rPr>
          <w:rFonts w:hint="eastAsia"/>
          <w:sz w:val="21"/>
          <w:szCs w:val="21"/>
        </w:rPr>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rPr>
          <w:sz w:val="32"/>
          <w:szCs w:val="32"/>
        </w:rPr>
      </w:pPr>
      <w:r>
        <w:rPr>
          <w:rFonts w:hint="eastAsia" w:ascii="宋体" w:hAnsi="宋体"/>
          <w:b/>
          <w:bCs/>
          <w:sz w:val="32"/>
          <w:szCs w:val="32"/>
          <w:highlight w:val="yellow"/>
        </w:rPr>
        <w:t>附件：保养报告</w:t>
      </w:r>
    </w:p>
    <w:p>
      <w:pPr>
        <w:spacing w:line="480" w:lineRule="auto"/>
        <w:rPr>
          <w:rFonts w:hint="eastAsia" w:ascii="宋体" w:hAnsi="宋体"/>
          <w:b/>
          <w:bCs/>
          <w:color w:val="000000"/>
          <w:sz w:val="21"/>
          <w:szCs w:val="21"/>
          <w:highlight w:val="yellow"/>
        </w:rPr>
      </w:pPr>
      <w:r>
        <w:rPr>
          <w:rFonts w:hint="eastAsia" w:ascii="宋体" w:hAnsi="宋体"/>
          <w:b/>
          <w:bCs/>
          <w:color w:val="000000"/>
          <w:highlight w:val="yellow"/>
        </w:rPr>
        <w:t>1、设备保养检测内容</w:t>
      </w:r>
    </w:p>
    <w:p>
      <w:pPr>
        <w:pStyle w:val="6"/>
        <w:rPr>
          <w:rFonts w:hint="eastAsia" w:ascii="宋体" w:hAnsi="宋体"/>
          <w:color w:val="000000"/>
          <w:highlight w:val="yellow"/>
        </w:rPr>
      </w:pPr>
      <w:r>
        <w:rPr>
          <w:rFonts w:hint="eastAsia" w:ascii="宋体" w:hAnsi="宋体"/>
          <w:color w:val="000000"/>
          <w:highlight w:val="yellow"/>
        </w:rPr>
        <w:t>（1）</w:t>
      </w:r>
    </w:p>
    <w:p>
      <w:pPr>
        <w:pStyle w:val="6"/>
        <w:rPr>
          <w:rFonts w:hint="eastAsia" w:ascii="宋体" w:hAnsi="宋体"/>
          <w:color w:val="000000"/>
          <w:highlight w:val="yellow"/>
        </w:rPr>
      </w:pPr>
      <w:r>
        <w:rPr>
          <w:rFonts w:hint="eastAsia" w:ascii="宋体" w:hAnsi="宋体"/>
          <w:color w:val="000000"/>
          <w:highlight w:val="yellow"/>
        </w:rPr>
        <w:t>（2）</w:t>
      </w:r>
    </w:p>
    <w:p>
      <w:pPr>
        <w:pStyle w:val="6"/>
        <w:rPr>
          <w:rFonts w:hint="eastAsia" w:ascii="宋体" w:hAnsi="宋体"/>
          <w:color w:val="000000"/>
          <w:highlight w:val="yellow"/>
        </w:rPr>
      </w:pPr>
      <w:r>
        <w:rPr>
          <w:rFonts w:hint="eastAsia" w:ascii="宋体" w:hAnsi="宋体"/>
          <w:color w:val="000000"/>
          <w:highlight w:val="yellow"/>
        </w:rPr>
        <w:t>（3）</w:t>
      </w:r>
    </w:p>
    <w:p>
      <w:pPr>
        <w:spacing w:line="480" w:lineRule="auto"/>
        <w:rPr>
          <w:rFonts w:hint="eastAsia" w:ascii="宋体" w:hAnsi="宋体"/>
          <w:color w:val="000000"/>
          <w:sz w:val="24"/>
          <w:highlight w:val="yellow"/>
        </w:rPr>
      </w:pPr>
      <w:r>
        <w:rPr>
          <w:rFonts w:hint="eastAsia" w:ascii="宋体" w:hAnsi="宋体"/>
          <w:color w:val="000000"/>
          <w:highlight w:val="yellow"/>
        </w:rPr>
        <w:t>【例如：电气安全测试、安全阀功能测试、通气功能测试】</w:t>
      </w:r>
    </w:p>
    <w:p>
      <w:pPr>
        <w:numPr>
          <w:ilvl w:val="0"/>
          <w:numId w:val="19"/>
        </w:numPr>
        <w:adjustRightInd/>
        <w:spacing w:line="480" w:lineRule="auto"/>
        <w:textAlignment w:val="auto"/>
        <w:rPr>
          <w:rFonts w:hint="eastAsia"/>
          <w:b/>
          <w:bCs/>
          <w:sz w:val="21"/>
          <w:szCs w:val="21"/>
          <w:highlight w:val="yellow"/>
        </w:rPr>
      </w:pPr>
      <w:r>
        <w:rPr>
          <w:rFonts w:hint="eastAsia" w:ascii="宋体" w:hAnsi="宋体"/>
          <w:b/>
          <w:bCs/>
          <w:highlight w:val="yellow"/>
        </w:rPr>
        <w:t>更换保养件明细</w:t>
      </w:r>
    </w:p>
    <w:p>
      <w:pPr>
        <w:pStyle w:val="6"/>
        <w:snapToGrid w:val="0"/>
        <w:spacing w:line="520" w:lineRule="exact"/>
        <w:rPr>
          <w:sz w:val="24"/>
        </w:rPr>
      </w:pPr>
    </w:p>
    <w:p>
      <w:pPr>
        <w:snapToGrid w:val="0"/>
        <w:spacing w:line="520" w:lineRule="exact"/>
      </w:pPr>
    </w:p>
    <w:sectPr>
      <w:headerReference r:id="rId5" w:type="default"/>
      <w:type w:val="nextColumn"/>
      <w:pgSz w:w="11906" w:h="16838"/>
      <w:pgMar w:top="1440" w:right="1080" w:bottom="1440" w:left="108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color w:val="000000"/>
      </w:rPr>
    </w:pPr>
    <w:r>
      <w:fldChar w:fldCharType="begin"/>
    </w:r>
    <w:r>
      <w:instrText xml:space="preserve"> INCLUDEPICTURE "C:\\Users\\Administrator\\Documents\\WXWork\\1688851436297534\\Cache\\Image\\2021-05\\企业微信截图_16220096521360.png" \* MERGEFORMATINET </w:instrTex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0B4874DB"/>
    <w:multiLevelType w:val="multilevel"/>
    <w:tmpl w:val="0B4874D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D2914E2"/>
    <w:multiLevelType w:val="multilevel"/>
    <w:tmpl w:val="0D2914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38A3ADF"/>
    <w:multiLevelType w:val="multilevel"/>
    <w:tmpl w:val="138A3ADF"/>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D9DE4B"/>
    <w:multiLevelType w:val="singleLevel"/>
    <w:tmpl w:val="3ED9DE4B"/>
    <w:lvl w:ilvl="0" w:tentative="0">
      <w:start w:val="1"/>
      <w:numFmt w:val="chineseCounting"/>
      <w:suff w:val="nothing"/>
      <w:lvlText w:val="%1、"/>
      <w:lvlJc w:val="left"/>
      <w:rPr>
        <w:rFonts w:hint="eastAsia"/>
      </w:rPr>
    </w:lvl>
  </w:abstractNum>
  <w:abstractNum w:abstractNumId="1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C656009"/>
    <w:multiLevelType w:val="multilevel"/>
    <w:tmpl w:val="5C656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4C2248D"/>
    <w:multiLevelType w:val="multilevel"/>
    <w:tmpl w:val="64C2248D"/>
    <w:lvl w:ilvl="0" w:tentative="0">
      <w:start w:val="3"/>
      <w:numFmt w:val="decimal"/>
      <w:pStyle w:val="4"/>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0"/>
  </w:num>
  <w:num w:numId="4">
    <w:abstractNumId w:val="5"/>
  </w:num>
  <w:num w:numId="5">
    <w:abstractNumId w:val="18"/>
  </w:num>
  <w:num w:numId="6">
    <w:abstractNumId w:val="11"/>
  </w:num>
  <w:num w:numId="7">
    <w:abstractNumId w:val="10"/>
  </w:num>
  <w:num w:numId="8">
    <w:abstractNumId w:val="12"/>
  </w:num>
  <w:num w:numId="9">
    <w:abstractNumId w:val="4"/>
  </w:num>
  <w:num w:numId="10">
    <w:abstractNumId w:val="1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2JkNzJhNzMxYzgzMmI0MWRjOGEzODY4Y2ZiYWQifQ=="/>
  </w:docVars>
  <w:rsids>
    <w:rsidRoot w:val="00B821E9"/>
    <w:rsid w:val="00004575"/>
    <w:rsid w:val="00027CEA"/>
    <w:rsid w:val="00031409"/>
    <w:rsid w:val="00043181"/>
    <w:rsid w:val="00061333"/>
    <w:rsid w:val="000B0A59"/>
    <w:rsid w:val="000B2AB2"/>
    <w:rsid w:val="00197D5B"/>
    <w:rsid w:val="001E5198"/>
    <w:rsid w:val="002253F6"/>
    <w:rsid w:val="00236ED3"/>
    <w:rsid w:val="002560AA"/>
    <w:rsid w:val="0035416A"/>
    <w:rsid w:val="004F15BB"/>
    <w:rsid w:val="00615006"/>
    <w:rsid w:val="00626CB7"/>
    <w:rsid w:val="006737F2"/>
    <w:rsid w:val="007C400D"/>
    <w:rsid w:val="007E2A65"/>
    <w:rsid w:val="0084521D"/>
    <w:rsid w:val="008B13DC"/>
    <w:rsid w:val="008F6DBE"/>
    <w:rsid w:val="00905434"/>
    <w:rsid w:val="009478B5"/>
    <w:rsid w:val="00972BF8"/>
    <w:rsid w:val="009D0C23"/>
    <w:rsid w:val="00B821E9"/>
    <w:rsid w:val="00B9272B"/>
    <w:rsid w:val="00C9328A"/>
    <w:rsid w:val="00CD1220"/>
    <w:rsid w:val="00E355F0"/>
    <w:rsid w:val="00E606C7"/>
    <w:rsid w:val="00E61FF7"/>
    <w:rsid w:val="00EA511D"/>
    <w:rsid w:val="00EB5A4B"/>
    <w:rsid w:val="00ED5C10"/>
    <w:rsid w:val="00FB14E9"/>
    <w:rsid w:val="00FF202F"/>
    <w:rsid w:val="014252EF"/>
    <w:rsid w:val="02B11911"/>
    <w:rsid w:val="02FD2D69"/>
    <w:rsid w:val="03657FE5"/>
    <w:rsid w:val="03D75FB2"/>
    <w:rsid w:val="04467040"/>
    <w:rsid w:val="04B20D12"/>
    <w:rsid w:val="061340E1"/>
    <w:rsid w:val="06FC4A35"/>
    <w:rsid w:val="07EF16C1"/>
    <w:rsid w:val="07F91E90"/>
    <w:rsid w:val="07F95EEE"/>
    <w:rsid w:val="08781D15"/>
    <w:rsid w:val="09750C0F"/>
    <w:rsid w:val="0A0655BF"/>
    <w:rsid w:val="0B293A5F"/>
    <w:rsid w:val="0C0E3639"/>
    <w:rsid w:val="0CE860B9"/>
    <w:rsid w:val="0E01555D"/>
    <w:rsid w:val="0F882267"/>
    <w:rsid w:val="0F9E0D50"/>
    <w:rsid w:val="0FE4089C"/>
    <w:rsid w:val="11373C89"/>
    <w:rsid w:val="118063A3"/>
    <w:rsid w:val="126C329A"/>
    <w:rsid w:val="13547033"/>
    <w:rsid w:val="13A61385"/>
    <w:rsid w:val="14DA2EAA"/>
    <w:rsid w:val="14FE41AE"/>
    <w:rsid w:val="15066EA9"/>
    <w:rsid w:val="152C3935"/>
    <w:rsid w:val="166E7112"/>
    <w:rsid w:val="167038CD"/>
    <w:rsid w:val="17190E2C"/>
    <w:rsid w:val="172D32B7"/>
    <w:rsid w:val="176204A9"/>
    <w:rsid w:val="17FE514D"/>
    <w:rsid w:val="1834409B"/>
    <w:rsid w:val="18506E75"/>
    <w:rsid w:val="188A69DB"/>
    <w:rsid w:val="19185113"/>
    <w:rsid w:val="1A4E34E2"/>
    <w:rsid w:val="1A590ACC"/>
    <w:rsid w:val="1A862C7C"/>
    <w:rsid w:val="1A862E14"/>
    <w:rsid w:val="1A961F7B"/>
    <w:rsid w:val="1AE975F4"/>
    <w:rsid w:val="1B4005FD"/>
    <w:rsid w:val="1BCE01A3"/>
    <w:rsid w:val="1CF00880"/>
    <w:rsid w:val="1DBC0793"/>
    <w:rsid w:val="1DD31FB1"/>
    <w:rsid w:val="1E454A54"/>
    <w:rsid w:val="1E705177"/>
    <w:rsid w:val="1E7421F3"/>
    <w:rsid w:val="1F3B424C"/>
    <w:rsid w:val="1F935DBE"/>
    <w:rsid w:val="203171E6"/>
    <w:rsid w:val="20D12777"/>
    <w:rsid w:val="21B43FCC"/>
    <w:rsid w:val="21D73DBD"/>
    <w:rsid w:val="221C28C5"/>
    <w:rsid w:val="228E42A7"/>
    <w:rsid w:val="237A636E"/>
    <w:rsid w:val="23C40371"/>
    <w:rsid w:val="24114C03"/>
    <w:rsid w:val="241A4CD9"/>
    <w:rsid w:val="24F46A34"/>
    <w:rsid w:val="272A498F"/>
    <w:rsid w:val="27EA76FE"/>
    <w:rsid w:val="2824565C"/>
    <w:rsid w:val="28827F31"/>
    <w:rsid w:val="289B1FE8"/>
    <w:rsid w:val="298A3E0B"/>
    <w:rsid w:val="29CA4207"/>
    <w:rsid w:val="2AAE38A4"/>
    <w:rsid w:val="2B3C2311"/>
    <w:rsid w:val="2BEF05E0"/>
    <w:rsid w:val="2BF704EE"/>
    <w:rsid w:val="2C8F68B4"/>
    <w:rsid w:val="2D0372D6"/>
    <w:rsid w:val="2DA07759"/>
    <w:rsid w:val="2DE25FC3"/>
    <w:rsid w:val="2E612144"/>
    <w:rsid w:val="2ECE479A"/>
    <w:rsid w:val="2F923A19"/>
    <w:rsid w:val="303208EF"/>
    <w:rsid w:val="303402D9"/>
    <w:rsid w:val="30B11C7D"/>
    <w:rsid w:val="310052FF"/>
    <w:rsid w:val="31A22271"/>
    <w:rsid w:val="31ED4F37"/>
    <w:rsid w:val="322F164C"/>
    <w:rsid w:val="32F01EAA"/>
    <w:rsid w:val="3316226B"/>
    <w:rsid w:val="332A635E"/>
    <w:rsid w:val="33EA0C12"/>
    <w:rsid w:val="342E11F5"/>
    <w:rsid w:val="34485E60"/>
    <w:rsid w:val="34735813"/>
    <w:rsid w:val="34740780"/>
    <w:rsid w:val="34B103C4"/>
    <w:rsid w:val="35213875"/>
    <w:rsid w:val="35906305"/>
    <w:rsid w:val="36260A17"/>
    <w:rsid w:val="363B33E8"/>
    <w:rsid w:val="36667482"/>
    <w:rsid w:val="36D46030"/>
    <w:rsid w:val="385E093C"/>
    <w:rsid w:val="38BC4F4B"/>
    <w:rsid w:val="38E74C07"/>
    <w:rsid w:val="39FB069B"/>
    <w:rsid w:val="3A06290D"/>
    <w:rsid w:val="3A30545C"/>
    <w:rsid w:val="3A865F28"/>
    <w:rsid w:val="3A8B353F"/>
    <w:rsid w:val="3AAB2CC4"/>
    <w:rsid w:val="3B583D69"/>
    <w:rsid w:val="3CDF7D60"/>
    <w:rsid w:val="3CF96E86"/>
    <w:rsid w:val="3CFF77C9"/>
    <w:rsid w:val="3D7F55DD"/>
    <w:rsid w:val="3E7745BA"/>
    <w:rsid w:val="3F4E185B"/>
    <w:rsid w:val="3F7758B3"/>
    <w:rsid w:val="409D5D7A"/>
    <w:rsid w:val="414F5140"/>
    <w:rsid w:val="416A1F5E"/>
    <w:rsid w:val="419453CF"/>
    <w:rsid w:val="41992046"/>
    <w:rsid w:val="41A575DC"/>
    <w:rsid w:val="425E3711"/>
    <w:rsid w:val="430C23BC"/>
    <w:rsid w:val="43BB3877"/>
    <w:rsid w:val="44AB34F2"/>
    <w:rsid w:val="44AD459D"/>
    <w:rsid w:val="44B26298"/>
    <w:rsid w:val="44EE266C"/>
    <w:rsid w:val="45785186"/>
    <w:rsid w:val="45A74B4A"/>
    <w:rsid w:val="465D0485"/>
    <w:rsid w:val="48362D3C"/>
    <w:rsid w:val="484F3DFE"/>
    <w:rsid w:val="48657446"/>
    <w:rsid w:val="48DB6401"/>
    <w:rsid w:val="495E6623"/>
    <w:rsid w:val="496F2FCF"/>
    <w:rsid w:val="49F11610"/>
    <w:rsid w:val="4A7820C0"/>
    <w:rsid w:val="4A805CE9"/>
    <w:rsid w:val="4B1336CD"/>
    <w:rsid w:val="4B3317B5"/>
    <w:rsid w:val="4C211F55"/>
    <w:rsid w:val="4C31571C"/>
    <w:rsid w:val="4C663095"/>
    <w:rsid w:val="4CC91343"/>
    <w:rsid w:val="4DE06320"/>
    <w:rsid w:val="4DF14620"/>
    <w:rsid w:val="4E0336C0"/>
    <w:rsid w:val="4E2B2C88"/>
    <w:rsid w:val="50563A2B"/>
    <w:rsid w:val="50CF7027"/>
    <w:rsid w:val="510F4A72"/>
    <w:rsid w:val="52160BB7"/>
    <w:rsid w:val="530E2837"/>
    <w:rsid w:val="533B4901"/>
    <w:rsid w:val="535A7B0D"/>
    <w:rsid w:val="53B80923"/>
    <w:rsid w:val="53DC50DF"/>
    <w:rsid w:val="54AF45A2"/>
    <w:rsid w:val="54E702A4"/>
    <w:rsid w:val="554E4461"/>
    <w:rsid w:val="56064695"/>
    <w:rsid w:val="560F4703"/>
    <w:rsid w:val="56270168"/>
    <w:rsid w:val="56B55774"/>
    <w:rsid w:val="57520390"/>
    <w:rsid w:val="575E23BB"/>
    <w:rsid w:val="57E5716C"/>
    <w:rsid w:val="57F001A4"/>
    <w:rsid w:val="58552173"/>
    <w:rsid w:val="585A46CF"/>
    <w:rsid w:val="588F0096"/>
    <w:rsid w:val="58AD7B14"/>
    <w:rsid w:val="59461221"/>
    <w:rsid w:val="59883613"/>
    <w:rsid w:val="59DE4FE1"/>
    <w:rsid w:val="5ACE5056"/>
    <w:rsid w:val="5B07113C"/>
    <w:rsid w:val="5B0A6847"/>
    <w:rsid w:val="5B5A46DE"/>
    <w:rsid w:val="5B6C77C4"/>
    <w:rsid w:val="5D3214B0"/>
    <w:rsid w:val="5D944335"/>
    <w:rsid w:val="5D9F3F31"/>
    <w:rsid w:val="5E4C2E61"/>
    <w:rsid w:val="5E587A58"/>
    <w:rsid w:val="5E5B21D1"/>
    <w:rsid w:val="5EF20E1A"/>
    <w:rsid w:val="5F4A78B2"/>
    <w:rsid w:val="5F615571"/>
    <w:rsid w:val="5F946409"/>
    <w:rsid w:val="5FAA5CC4"/>
    <w:rsid w:val="5FF73463"/>
    <w:rsid w:val="607803C1"/>
    <w:rsid w:val="60964868"/>
    <w:rsid w:val="60B371C8"/>
    <w:rsid w:val="6104079B"/>
    <w:rsid w:val="6116564E"/>
    <w:rsid w:val="611C46C1"/>
    <w:rsid w:val="61DA0220"/>
    <w:rsid w:val="61DE3737"/>
    <w:rsid w:val="62311CD4"/>
    <w:rsid w:val="62617F70"/>
    <w:rsid w:val="62E21FE6"/>
    <w:rsid w:val="63256313"/>
    <w:rsid w:val="635752F5"/>
    <w:rsid w:val="642C513E"/>
    <w:rsid w:val="643C3433"/>
    <w:rsid w:val="64963088"/>
    <w:rsid w:val="65017FFF"/>
    <w:rsid w:val="65503639"/>
    <w:rsid w:val="656C5B97"/>
    <w:rsid w:val="661A16C9"/>
    <w:rsid w:val="66A5612E"/>
    <w:rsid w:val="66C82433"/>
    <w:rsid w:val="66E74776"/>
    <w:rsid w:val="67254250"/>
    <w:rsid w:val="67531B55"/>
    <w:rsid w:val="676F35B6"/>
    <w:rsid w:val="68CD568A"/>
    <w:rsid w:val="69AB345D"/>
    <w:rsid w:val="6A8903E7"/>
    <w:rsid w:val="6AF0263B"/>
    <w:rsid w:val="6B340F05"/>
    <w:rsid w:val="6B824366"/>
    <w:rsid w:val="6BB474EC"/>
    <w:rsid w:val="6C2E3BA6"/>
    <w:rsid w:val="6C9C6D62"/>
    <w:rsid w:val="6CD52274"/>
    <w:rsid w:val="6D383FF5"/>
    <w:rsid w:val="6D754839"/>
    <w:rsid w:val="6E2949F8"/>
    <w:rsid w:val="6EDD1A1B"/>
    <w:rsid w:val="6FB216B6"/>
    <w:rsid w:val="6FE74798"/>
    <w:rsid w:val="70196E45"/>
    <w:rsid w:val="702E64C1"/>
    <w:rsid w:val="708B5A6B"/>
    <w:rsid w:val="708E3A36"/>
    <w:rsid w:val="70AB7BF5"/>
    <w:rsid w:val="70F45858"/>
    <w:rsid w:val="716231FE"/>
    <w:rsid w:val="722F2426"/>
    <w:rsid w:val="7308200B"/>
    <w:rsid w:val="73DD4830"/>
    <w:rsid w:val="73E11E90"/>
    <w:rsid w:val="742023C5"/>
    <w:rsid w:val="743406AC"/>
    <w:rsid w:val="74693D11"/>
    <w:rsid w:val="746B30D7"/>
    <w:rsid w:val="74F87447"/>
    <w:rsid w:val="751C3D54"/>
    <w:rsid w:val="75C3529A"/>
    <w:rsid w:val="76004806"/>
    <w:rsid w:val="76023E11"/>
    <w:rsid w:val="760C0463"/>
    <w:rsid w:val="763664AB"/>
    <w:rsid w:val="765D783B"/>
    <w:rsid w:val="76A73695"/>
    <w:rsid w:val="77217BDD"/>
    <w:rsid w:val="773D1ABA"/>
    <w:rsid w:val="77832BE1"/>
    <w:rsid w:val="77DC0017"/>
    <w:rsid w:val="781B55BE"/>
    <w:rsid w:val="788C05D2"/>
    <w:rsid w:val="78A74AFF"/>
    <w:rsid w:val="794A36CE"/>
    <w:rsid w:val="79680322"/>
    <w:rsid w:val="799A6D1F"/>
    <w:rsid w:val="79ED6E4F"/>
    <w:rsid w:val="7B783090"/>
    <w:rsid w:val="7BAD1191"/>
    <w:rsid w:val="7BC34A15"/>
    <w:rsid w:val="7BC736D0"/>
    <w:rsid w:val="7BF5648F"/>
    <w:rsid w:val="7C164964"/>
    <w:rsid w:val="7D250FF6"/>
    <w:rsid w:val="7D4F78C2"/>
    <w:rsid w:val="7D58539A"/>
    <w:rsid w:val="7D7007F8"/>
    <w:rsid w:val="7E99169F"/>
    <w:rsid w:val="7EBB0755"/>
    <w:rsid w:val="7F714152"/>
    <w:rsid w:val="7FB421BD"/>
    <w:rsid w:val="7FBF0F64"/>
    <w:rsid w:val="7FEC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numPr>
        <w:ilvl w:val="0"/>
        <w:numId w:val="1"/>
      </w:numPr>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8"/>
    <w:autoRedefine/>
    <w:qFormat/>
    <w:uiPriority w:val="0"/>
    <w:pPr>
      <w:jc w:val="left"/>
    </w:pPr>
    <w:rPr>
      <w:rFonts w:ascii="Calibri" w:hAnsi="Calibri"/>
      <w:kern w:val="2"/>
      <w:sz w:val="21"/>
    </w:r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99"/>
    <w:pPr>
      <w:ind w:firstLine="830" w:firstLineChars="352"/>
    </w:pPr>
    <w:rPr>
      <w:rFonts w:ascii="仿宋_GB2312" w:eastAsia="仿宋_GB2312"/>
      <w:sz w:val="32"/>
      <w:szCs w:val="20"/>
    </w:rPr>
  </w:style>
  <w:style w:type="paragraph" w:styleId="8">
    <w:name w:val="envelope return"/>
    <w:basedOn w:val="1"/>
    <w:autoRedefine/>
    <w:qFormat/>
    <w:uiPriority w:val="0"/>
    <w:pPr>
      <w:snapToGrid w:val="0"/>
    </w:pPr>
    <w:rPr>
      <w:rFonts w:ascii="Arial" w:hAnsi="Arial"/>
    </w:rPr>
  </w:style>
  <w:style w:type="paragraph" w:styleId="9">
    <w:name w:val="toc 3"/>
    <w:basedOn w:val="1"/>
    <w:next w:val="1"/>
    <w:autoRedefine/>
    <w:qFormat/>
    <w:uiPriority w:val="39"/>
    <w:pPr>
      <w:spacing w:before="120" w:after="120"/>
      <w:ind w:left="420"/>
      <w:jc w:val="left"/>
    </w:pPr>
    <w:rPr>
      <w:rFonts w:ascii="Calibri" w:hAnsi="Calibri" w:cs="Calibri"/>
      <w:iCs/>
      <w:szCs w:val="20"/>
    </w:rPr>
  </w:style>
  <w:style w:type="paragraph" w:styleId="10">
    <w:name w:val="Plain Text"/>
    <w:basedOn w:val="1"/>
    <w:autoRedefine/>
    <w:qFormat/>
    <w:uiPriority w:val="99"/>
    <w:rPr>
      <w:rFonts w:ascii="宋体" w:hAnsi="Courier New" w:cs="Courier New"/>
      <w:kern w:val="2"/>
      <w:sz w:val="21"/>
      <w:szCs w:val="21"/>
    </w:rPr>
  </w:style>
  <w:style w:type="paragraph" w:styleId="11">
    <w:name w:val="Balloon Text"/>
    <w:basedOn w:val="1"/>
    <w:link w:val="40"/>
    <w:autoRedefine/>
    <w:qFormat/>
    <w:uiPriority w:val="0"/>
    <w:pPr>
      <w:spacing w:line="240" w:lineRule="auto"/>
    </w:pPr>
    <w:rPr>
      <w:sz w:val="18"/>
      <w:szCs w:val="18"/>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rFonts w:ascii="Calibri" w:hAnsi="Calibri" w:cs="Calibri"/>
      <w:b/>
      <w:bCs/>
      <w:caps/>
      <w:szCs w:val="20"/>
    </w:rPr>
  </w:style>
  <w:style w:type="paragraph" w:styleId="15">
    <w:name w:val="toc 2"/>
    <w:basedOn w:val="1"/>
    <w:next w:val="1"/>
    <w:autoRedefine/>
    <w:qFormat/>
    <w:uiPriority w:val="39"/>
    <w:pPr>
      <w:spacing w:before="120" w:after="120"/>
      <w:ind w:left="210"/>
      <w:jc w:val="left"/>
    </w:pPr>
    <w:rPr>
      <w:rFonts w:ascii="Calibri" w:hAnsi="Calibri" w:cs="Calibri"/>
      <w:smallCaps/>
      <w:szCs w:val="20"/>
    </w:rPr>
  </w:style>
  <w:style w:type="paragraph" w:styleId="16">
    <w:name w:val="Normal (Web)"/>
    <w:basedOn w:val="1"/>
    <w:autoRedefine/>
    <w:qFormat/>
    <w:uiPriority w:val="99"/>
    <w:pPr>
      <w:widowControl/>
      <w:spacing w:before="100" w:beforeAutospacing="1" w:after="100" w:afterAutospacing="1"/>
      <w:jc w:val="left"/>
    </w:pPr>
    <w:rPr>
      <w:rFonts w:ascii="宋体" w:hAnsi="宋体"/>
      <w:sz w:val="24"/>
    </w:rPr>
  </w:style>
  <w:style w:type="paragraph" w:styleId="17">
    <w:name w:val="annotation subject"/>
    <w:basedOn w:val="5"/>
    <w:next w:val="5"/>
    <w:link w:val="39"/>
    <w:autoRedefine/>
    <w:qFormat/>
    <w:uiPriority w:val="0"/>
    <w:rPr>
      <w:rFonts w:ascii="Times New Roman" w:hAnsi="Times New Roman"/>
      <w:b/>
      <w:bCs/>
      <w:kern w:val="0"/>
      <w:sz w:val="20"/>
    </w:rPr>
  </w:style>
  <w:style w:type="paragraph" w:styleId="18">
    <w:name w:val="Body Text First Indent 2"/>
    <w:basedOn w:val="7"/>
    <w:autoRedefine/>
    <w:qFormat/>
    <w:uiPriority w:val="99"/>
    <w:pPr>
      <w:ind w:left="200" w:firstLine="200" w:firstLineChars="200"/>
    </w:pPr>
    <w:rPr>
      <w:rFonts w:ascii="Times New Roman" w:eastAsia="宋体"/>
      <w:kern w:val="2"/>
    </w:rPr>
  </w:style>
  <w:style w:type="character" w:styleId="21">
    <w:name w:val="Strong"/>
    <w:autoRedefine/>
    <w:qFormat/>
    <w:uiPriority w:val="22"/>
    <w:rPr>
      <w:b/>
      <w:bCs/>
    </w:rPr>
  </w:style>
  <w:style w:type="character" w:styleId="22">
    <w:name w:val="page number"/>
    <w:autoRedefine/>
    <w:qFormat/>
    <w:uiPriority w:val="0"/>
  </w:style>
  <w:style w:type="character" w:styleId="23">
    <w:name w:val="Hyperlink"/>
    <w:autoRedefine/>
    <w:qFormat/>
    <w:uiPriority w:val="99"/>
    <w:rPr>
      <w:rFonts w:eastAsia="宋体"/>
      <w:color w:val="0000FF"/>
      <w:sz w:val="28"/>
      <w:u w:val="single"/>
    </w:rPr>
  </w:style>
  <w:style w:type="character" w:styleId="24">
    <w:name w:val="annotation reference"/>
    <w:autoRedefine/>
    <w:qFormat/>
    <w:uiPriority w:val="0"/>
    <w:rPr>
      <w:sz w:val="21"/>
      <w:szCs w:val="21"/>
    </w:rPr>
  </w:style>
  <w:style w:type="paragraph" w:customStyle="1" w:styleId="25">
    <w:name w:val="表格文字"/>
    <w:basedOn w:val="26"/>
    <w:autoRedefine/>
    <w:qFormat/>
    <w:uiPriority w:val="0"/>
    <w:pPr>
      <w:spacing w:before="25" w:after="25"/>
      <w:jc w:val="left"/>
    </w:pPr>
    <w:rPr>
      <w:bCs/>
      <w:spacing w:val="10"/>
      <w:sz w:val="24"/>
      <w:szCs w:val="20"/>
    </w:rPr>
  </w:style>
  <w:style w:type="paragraph" w:customStyle="1" w:styleId="26">
    <w:name w:val="表格文字（两侧对齐）"/>
    <w:basedOn w:val="1"/>
    <w:autoRedefine/>
    <w:qFormat/>
    <w:uiPriority w:val="0"/>
    <w:pPr>
      <w:snapToGrid w:val="0"/>
      <w:spacing w:line="240" w:lineRule="auto"/>
    </w:pPr>
    <w:rPr>
      <w:rFonts w:ascii="Calibri" w:hAnsi="Calibri"/>
    </w:rPr>
  </w:style>
  <w:style w:type="character" w:customStyle="1" w:styleId="27">
    <w:name w:val="p141"/>
    <w:autoRedefine/>
    <w:qFormat/>
    <w:uiPriority w:val="0"/>
    <w:rPr>
      <w:sz w:val="21"/>
      <w:szCs w:val="21"/>
    </w:rPr>
  </w:style>
  <w:style w:type="paragraph" w:styleId="28">
    <w:name w:val="List Paragraph"/>
    <w:basedOn w:val="1"/>
    <w:autoRedefine/>
    <w:qFormat/>
    <w:uiPriority w:val="99"/>
    <w:pPr>
      <w:ind w:firstLine="420" w:firstLineChars="200"/>
    </w:pPr>
  </w:style>
  <w:style w:type="paragraph" w:customStyle="1" w:styleId="29">
    <w:name w:val="图"/>
    <w:basedOn w:val="1"/>
    <w:autoRedefine/>
    <w:qFormat/>
    <w:uiPriority w:val="0"/>
    <w:pPr>
      <w:keepNext/>
      <w:spacing w:before="60" w:after="60" w:line="300" w:lineRule="auto"/>
      <w:jc w:val="center"/>
      <w:textAlignment w:val="center"/>
    </w:pPr>
    <w:rPr>
      <w:snapToGrid w:val="0"/>
      <w:spacing w:val="20"/>
      <w:sz w:val="24"/>
      <w:szCs w:val="20"/>
    </w:rPr>
  </w:style>
  <w:style w:type="paragraph" w:customStyle="1" w:styleId="30">
    <w:name w:val="正文1"/>
    <w:autoRedefine/>
    <w:qFormat/>
    <w:uiPriority w:val="0"/>
    <w:pPr>
      <w:jc w:val="both"/>
    </w:pPr>
    <w:rPr>
      <w:rFonts w:ascii="Calibri" w:hAnsi="Calibri" w:eastAsia="宋体" w:cs="Calibri"/>
      <w:kern w:val="2"/>
      <w:sz w:val="21"/>
      <w:szCs w:val="21"/>
      <w:lang w:val="en-US" w:eastAsia="zh-CN" w:bidi="ar-SA"/>
    </w:rPr>
  </w:style>
  <w:style w:type="character" w:customStyle="1" w:styleId="31">
    <w:name w:val="p141_0"/>
    <w:autoRedefine/>
    <w:qFormat/>
    <w:uiPriority w:val="0"/>
    <w:rPr>
      <w:rFonts w:ascii="Calibri" w:hAnsi="Calibri"/>
      <w:sz w:val="21"/>
      <w:szCs w:val="21"/>
    </w:rPr>
  </w:style>
  <w:style w:type="character" w:customStyle="1" w:styleId="32">
    <w:name w:val="15"/>
    <w:autoRedefine/>
    <w:qFormat/>
    <w:uiPriority w:val="0"/>
    <w:rPr>
      <w:rFonts w:hint="default" w:ascii="Calibri" w:hAnsi="Calibri" w:cs="Calibri"/>
      <w:sz w:val="21"/>
      <w:szCs w:val="21"/>
    </w:rPr>
  </w:style>
  <w:style w:type="paragraph" w:customStyle="1" w:styleId="33">
    <w:name w:val="Normal_13"/>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4">
    <w:name w:val="正文_14"/>
    <w:autoRedefine/>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35">
    <w:name w:val="彩色列表1"/>
    <w:basedOn w:val="1"/>
    <w:autoRedefine/>
    <w:qFormat/>
    <w:uiPriority w:val="34"/>
    <w:pPr>
      <w:ind w:firstLine="420" w:firstLineChars="200"/>
    </w:pPr>
  </w:style>
  <w:style w:type="paragraph" w:customStyle="1" w:styleId="36">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修订1"/>
    <w:autoRedefine/>
    <w:hidden/>
    <w:semiHidden/>
    <w:qFormat/>
    <w:uiPriority w:val="99"/>
    <w:rPr>
      <w:rFonts w:ascii="Times New Roman" w:hAnsi="Times New Roman" w:eastAsia="宋体" w:cs="Times New Roman"/>
      <w:szCs w:val="24"/>
      <w:lang w:val="en-US" w:eastAsia="zh-CN" w:bidi="ar-SA"/>
    </w:rPr>
  </w:style>
  <w:style w:type="character" w:customStyle="1" w:styleId="38">
    <w:name w:val="批注文字 Char"/>
    <w:basedOn w:val="20"/>
    <w:link w:val="5"/>
    <w:autoRedefine/>
    <w:qFormat/>
    <w:uiPriority w:val="0"/>
    <w:rPr>
      <w:rFonts w:ascii="Calibri" w:hAnsi="Calibri"/>
      <w:kern w:val="2"/>
      <w:sz w:val="21"/>
      <w:szCs w:val="24"/>
    </w:rPr>
  </w:style>
  <w:style w:type="character" w:customStyle="1" w:styleId="39">
    <w:name w:val="批注主题 Char"/>
    <w:basedOn w:val="38"/>
    <w:link w:val="17"/>
    <w:autoRedefine/>
    <w:qFormat/>
    <w:uiPriority w:val="0"/>
    <w:rPr>
      <w:rFonts w:ascii="Calibri" w:hAnsi="Calibri"/>
      <w:b/>
      <w:bCs/>
      <w:kern w:val="2"/>
      <w:sz w:val="21"/>
      <w:szCs w:val="24"/>
    </w:rPr>
  </w:style>
  <w:style w:type="character" w:customStyle="1" w:styleId="40">
    <w:name w:val="批注框文本 Char"/>
    <w:basedOn w:val="20"/>
    <w:link w:val="11"/>
    <w:autoRedefine/>
    <w:qFormat/>
    <w:uiPriority w:val="0"/>
    <w:rPr>
      <w:sz w:val="18"/>
      <w:szCs w:val="18"/>
    </w:rPr>
  </w:style>
  <w:style w:type="paragraph" w:customStyle="1" w:styleId="41">
    <w:name w:val="文档正文"/>
    <w:basedOn w:val="1"/>
    <w:autoRedefine/>
    <w:qFormat/>
    <w:uiPriority w:val="99"/>
    <w:pPr>
      <w:spacing w:after="160" w:line="480" w:lineRule="atLeast"/>
      <w:ind w:firstLine="567" w:firstLineChars="200"/>
    </w:pPr>
    <w:rPr>
      <w:rFonts w:ascii="长城仿宋" w:hAnsi="Calibri"/>
      <w:sz w:val="21"/>
      <w:szCs w:val="20"/>
    </w:rPr>
  </w:style>
  <w:style w:type="paragraph" w:customStyle="1" w:styleId="42">
    <w:name w:val="Table Paragraph"/>
    <w:basedOn w:val="1"/>
    <w:autoRedefine/>
    <w:qFormat/>
    <w:uiPriority w:val="0"/>
    <w:pPr>
      <w:autoSpaceDE w:val="0"/>
      <w:autoSpaceDN w:val="0"/>
      <w:jc w:val="left"/>
    </w:pPr>
    <w:rPr>
      <w:rFonts w:ascii="宋体" w:hAnsi="宋体" w:cs="宋体"/>
      <w:kern w:val="0"/>
      <w:sz w:val="22"/>
      <w:szCs w:val="22"/>
    </w:rPr>
  </w:style>
  <w:style w:type="character" w:customStyle="1" w:styleId="43">
    <w:name w:val="font21"/>
    <w:basedOn w:val="2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10323</Words>
  <Characters>10816</Characters>
  <Lines>50</Lines>
  <Paragraphs>14</Paragraphs>
  <TotalTime>12</TotalTime>
  <ScaleCrop>false</ScaleCrop>
  <LinksUpToDate>false</LinksUpToDate>
  <CharactersWithSpaces>11793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2022-05-09T09:46:00Z</dcterms:created>
  <dc:creator>采联国际招标采购集团有限公司</dc:creator>
  <cp:lastModifiedBy>陈光宾²⁰²⁰</cp:lastModifiedBy>
  <cp:lastPrinted>2022-10-18T06:40:00Z</cp:lastPrinted>
  <dcterms:modified xsi:type="dcterms:W3CDTF">2024-04-18T01:15:30Z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3D7624D8E8524BC68C39DA99C95DDCF9</vt:lpwstr>
  </property>
</Properties>
</file>