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Cs/>
          <w:color w:val="000000"/>
          <w:szCs w:val="20"/>
        </w:rPr>
      </w:pPr>
      <w:bookmarkStart w:id="0" w:name="_Toc19184"/>
      <w:bookmarkStart w:id="1" w:name="_Toc14293"/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zh-CN"/>
        </w:rPr>
        <w:t>部分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zh-CN"/>
        </w:rPr>
        <w:t>用户需求书</w:t>
      </w:r>
      <w:bookmarkEnd w:id="0"/>
      <w:bookmarkEnd w:id="1"/>
    </w:p>
    <w:p>
      <w:pPr>
        <w:pStyle w:val="3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2" w:name="_Toc21855"/>
      <w:bookmarkStart w:id="3" w:name="_Toc2933"/>
      <w:r>
        <w:rPr>
          <w:rFonts w:hint="eastAsia" w:ascii="仿宋" w:hAnsi="仿宋" w:eastAsia="仿宋" w:cs="仿宋"/>
          <w:color w:val="000000"/>
          <w:sz w:val="28"/>
          <w:szCs w:val="28"/>
        </w:rPr>
        <w:t>项目内容</w:t>
      </w:r>
    </w:p>
    <w:tbl>
      <w:tblPr>
        <w:tblStyle w:val="9"/>
        <w:tblW w:w="923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4"/>
        <w:gridCol w:w="963"/>
        <w:gridCol w:w="1007"/>
        <w:gridCol w:w="30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4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项目内容</w:t>
            </w:r>
          </w:p>
        </w:tc>
        <w:tc>
          <w:tcPr>
            <w:tcW w:w="963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07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027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项目施工期限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广州市妇女儿童医疗中心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儿童院区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7号楼二、三楼多联空调安装改造项目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合同生效之日起50天</w:t>
            </w:r>
          </w:p>
        </w:tc>
      </w:tr>
      <w:bookmarkEnd w:id="2"/>
      <w:bookmarkEnd w:id="3"/>
    </w:tbl>
    <w:p>
      <w:pPr>
        <w:pStyle w:val="3"/>
        <w:widowControl/>
        <w:spacing w:before="156" w:beforeLines="50" w:after="156" w:afterLines="50" w:line="360" w:lineRule="auto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（一）项目概况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本次空调改造项目是针对空调设备进行旧机换新机的更换改造；涉及的区域广州市妇女儿童医疗中心（儿童院区）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号楼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二、三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楼门诊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项目地址：广州市人民中路318号7号楼二、三楼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本次空调改造项目的难度大，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配合环节复杂，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施工周期长，在改造过程中需要涉及的工作有：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1、拆除现有天花、灯具、电源线，并对消防喷淋、烟感、应急指示灯等进行保护，系统调试后对天花进行修复；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2、保护性拆除旧空调设备，并将拆下来的设备搬至指定位置；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3、拆除旧的天花、空调风管、铜管、冷凝水管、电源线，待新空调设备安装完毕后，重新安装新的；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4、需要考虑夜间施工措施，分区域围蔽措施，分区域试压措施；</w:t>
      </w:r>
    </w:p>
    <w:p>
      <w:pPr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、重新安装新的天花、送风口、灯具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满足使用及美观要求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因施工造成现有设施或设备损坏，必须修复，恢复至原状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产生的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所有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费用含在投标报价内。（除采购人要求变更外）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、充分考虑施工对医院诊室的影响，做到边施工边开门诊。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default" w:ascii="仿宋" w:hAnsi="仿宋" w:eastAsia="仿宋" w:cs="仿宋"/>
          <w:bCs/>
          <w:color w:val="00000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zh-CN"/>
        </w:rPr>
        <w:t>部分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en-US" w:eastAsia="zh-CN"/>
        </w:rPr>
        <w:t>项目清单</w:t>
      </w:r>
    </w:p>
    <w:p>
      <w:pPr>
        <w:spacing w:line="360" w:lineRule="auto"/>
        <w:ind w:left="791" w:hanging="723" w:hangingChars="30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备注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：参与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方自行勘查现场，按清单项目内容报价，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参与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报价时清单内容可根据实际品牌及参数进行报价。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参与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方根据现场施工内容自行报价。总价包含需要含材料、人工、税金</w:t>
      </w:r>
      <w:bookmarkStart w:id="4" w:name="_GoBack"/>
      <w:bookmarkEnd w:id="4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、措施费、现场保护费、垃圾清理费等该工程相关的费用。制冷主机安装在屋面，铜管需要做户外保护措施。</w:t>
      </w:r>
    </w:p>
    <w:p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</w:p>
    <w:tbl>
      <w:tblPr>
        <w:tblStyle w:val="9"/>
        <w:tblW w:w="97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5921"/>
        <w:gridCol w:w="710"/>
        <w:gridCol w:w="852"/>
        <w:gridCol w:w="971"/>
        <w:gridCol w:w="8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报价汇总表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广州市妇女儿童医疗中心（儿童院区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三楼多联空调安装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改造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-设备安装部分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广州市妇女儿童医疗中心（儿童院区）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三楼多联空调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安装改造项目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-装饰部分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广州市妇女儿童医疗中心（儿童院区）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三楼多联空调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安装改造项目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-消防改造部分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含税总价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人民币元</w:t>
            </w:r>
          </w:p>
        </w:tc>
      </w:tr>
    </w:tbl>
    <w:p>
      <w:pPr>
        <w:ind w:left="791" w:hanging="723" w:hangingChars="30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项目名称：设备安装部分</w:t>
      </w:r>
    </w:p>
    <w:tbl>
      <w:tblPr>
        <w:tblStyle w:val="9"/>
        <w:tblW w:w="92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74"/>
        <w:gridCol w:w="2849"/>
        <w:gridCol w:w="595"/>
        <w:gridCol w:w="885"/>
        <w:gridCol w:w="1059"/>
        <w:gridCol w:w="884"/>
        <w:gridCol w:w="9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90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空调风部分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1.名称:低静压风管机D22T3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2.型号规格:制冷量：2.2KW；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制热量:2.6KW；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制冷功率:0.022KW；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噪声28dB(A)；风量:420CMH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冷媒接管：Φ12.7/6.4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排水接管:DN25；带提升泵；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1.名称:低静压风管机D25T3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2.型号规格:制冷量：2.5KW；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制热量:2.8KW；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制冷功率:0.028KW；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噪声30dB(A)；风量:460CMH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排水接管:DN25；带提升泵；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1.名称:低静压风管机D28T3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2.型号规格:制冷量：2.8KW；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制热量:3.2KW；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制冷功率:0.049KW；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噪声30dB(A)；风量:460CMH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排水接管:DN25；带提升泵；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1.名称:低静压风管机D32T3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2.型号规格:制冷量：3.2KW；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制热量:3.6KW；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制冷功率:0.049KW；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噪声32dB(A)；风量:570CMH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排水接管:DN25；带提升泵；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1.名称:低静压风管机D36T3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2.型号规格:制冷量：3.6KW；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制热量:4.0KW；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制冷功率:0.049KW；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噪声32dB(A)；风量:570CMH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排水接管:DN25；带提升泵；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1.名称:低静压风管机D40T3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2.型号规格:制冷量:4.5KW;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制热量:5.0KW;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制冷功率:0.052KW;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机外静压15Pa);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噪声34dB(A);风量:700CMH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1.名称:低静压风管机D50T3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2.型号规格:制冷量:5.0KW;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制热量:5.6KW;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制冷功率:0.1KW;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机外静压15Pa);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噪声38dB(A);风量:1020CMH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1.名称:低静压风管机D56T3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2.型号规格:制冷量:5.6KW;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制热量:6.3KW;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制冷功率:0.1KW;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机外静压15Pa);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噪声38dB(A);风量:1020CMH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1.名称:低静压风管机D63T3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2.型号规格:制冷量:6.3KW;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制热量:7.1KW;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制冷功率:0.103KW;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机外静压15Pa);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噪声38dB(A);风量:1100CMH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冷媒管接管:Φ12.7/6.4;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1.名称:低静压风管机D71T3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2.型号规格:制冷量:7.1KW;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制热量:8.0KW;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制冷功率:0.103KW;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机外静压15Pa);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设备厚度:200mm;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噪声38dB(A);风量:1145CMH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冷媒管接管:Φ15.88/9.52;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1.名称:低静压风管机D80T3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2.型号规格:制冷量:8.0KW；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制热量:9.0KW;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制冷功率:0.106KW;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机外静压50Pa;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设备厚度:245mm;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噪声38dB(A);风量:1355CMH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冷媒管接管:Φ15.88/9.52；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排水接管:DN25；带提升泵；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1.名称:环形出风嵌入式室内机D56Q4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2.型号规格:制冷量:5.6KW;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制热量:6.3KW;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制冷功率:0.036KW;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设备厚度:204mm;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噪声33dB(A);风量:840CMH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冷媒管接管:Φ15.88/9.52;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1.名称:环形出风嵌入式室内机D71Q4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2.型号规格:制冷量:7.1KW;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制热量:8.0KW;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制冷功率:0.039KW;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设备厚度:204mm;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噪声37dB(A);风量:1000CMH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冷媒管接管:Φ15.88/9.52;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1.名称:环形出风嵌入式室内机D80Q4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2.型号规格:制冷量:8.0KW;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制热量:9.0KW;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制冷功率:0.041KW;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设备厚度:204mm;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噪声42.5dB(A);风量:1100CMH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冷媒管接管:Φ15.88/9.52;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1.名称:环形出风嵌入式室内机D100Q4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2.型号规格:制冷量:10.0KW;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制热量:11.2KW;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制冷功率:0.074KW;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设备厚度:246mm;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噪声43dB(A);风量1470CMH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冷媒管接管:Φ15.88/9.52;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排水接管:DN25;带提升泵;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1.名称:环形出风嵌入式室内机D112Q4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2.型号规格:制冷量:11.2KW;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制热量:12.5KW;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制冷功率:0.076KW;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设备厚度:288mm;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噪声41dB(A);风量:1600CMH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冷媒管接管:Φ15.88/9.52；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排水接管:DN25；带提升泵；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1.名称:多联机新风室内机D280T1/XF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2.型号规格:制冷量:28.0KW;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制热量:18.0KW;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机外静压220Pa;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制冷功率:0.9KW;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噪声(冷/热)57dB(A);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风量:2800m3/h;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冷媒:R410A环保冷媒;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冷媒管接管:Φ22.2/12.7;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排水接管:DN32;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1.名称：多联机室外机 W-280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2.制冷量：28KW；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制热量：31.5KW；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制冷功率：13.16KW；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噪声：57dB(A)；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冷媒：R410A环保冷媒;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冷媒管接管：Φ22.2/12.7；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重：195Kg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1.名称：多联机室外机 W-560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2.制冷量：56KW；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制热量：63KW；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制冷功率：23.9KW；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噪声62dB(A)；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冷媒：R410A环保冷媒;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冷媒管接管：Φ28.6/15.88；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重：295Kg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1.名称：多联机室外机 W-900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2.制冷量：90.0KW；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制热量：100.0KW；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制冷功率：32.95KW；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噪声64dB(A)；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冷媒：R410A环保冷媒;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冷媒管接管：Φ38.1/22.2；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重：405Kg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1.名称：多联机室外机 W-1170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2.制冷量：117.0KW；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制热量：130.0KW；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制冷功率：48.3KW；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噪声68dB(A)；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冷媒：R410A环保冷媒;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冷媒管接管：Φ28.6/15.88；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重：436Kg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1.名称：多联机室外机组 W-560+W-735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2.制冷量：129.5KW；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制热量：144.5KW；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制冷功率：28KW；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噪声62dB(A)；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冷媒：R410A环保冷媒;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冷媒管接管：Φ28.6/12.7；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重：610Kg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3.含设备支架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柜式排风柜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1.名称:柜式排风柜;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2.型号规格:风量:3000m3/h,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功率:0.75KW,静压:220pa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1.名称:镀锌钢板风管 最长边≤320mm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2.板材厚度:0.5mm厚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3.B1级橡塑保温厚15mm，支架除锈刷油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1.名称:镀锌钢板 风管最长边≤450mm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2.板材厚度:0.6mm厚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3.B1级橡塑保温厚15mm，支架除锈刷油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1.名称:镀锌钢板风管 最长边≤1000mm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2.板材厚度:0.75mm厚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3.B1级橡塑保温厚15mm，支架除锈刷油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1.名称:镀锌钢板风管 最长边≤1120mm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2.板材厚度:0.75mm厚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3.B1级橡塑保温厚15mm，支架除锈刷油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1.名称:柔性接口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2.规格:500*250*1000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2.规格:500*320*1000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2.规格:350*350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1.名称:门铰式回风百叶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2.规格:455*250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1.名称:门铰式回风百叶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2.规格:605*250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1.名称:门铰式回风百叶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2.规格:805*250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1.名称:门铰式回风百叶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2.规格:1005*250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2.规格:120*120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2.规格:450*250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1.名称:防雨百叶带防虫网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2.规格:800*250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1.名称:防雨百叶带防虫网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1.名称:风量调节阀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1.名称:风量调节阀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1.名称:风量调节阀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1.名称:风量调节阀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2.风管、管件、法兰、托吊卡件、保温层拆除、搬运至指定地点、清理现场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1.空调器室外机拆除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2.设备拆除,运至指定地点,清理现场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1.空调器室内机拆除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2.设备拆除,运至指定地点,清理现场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1.线槽拆除,运至指定地点,清理现场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1.配管DN20拆除,运至指定地点,清理现场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1.铜管(公称直径20mm以内)拆除,运至指定地点,清理现场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1.铜管(公称直径40mm以内)拆除,运至指定地点,清理现场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冷凝水管拆除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1.冷凝水管拆除,运至指定地点,清理现场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空调配电箱拆除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1.空调配电箱拆除,运至指定地点,清理现场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空调冷媒部分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1.分歧管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2.规格：T3Q01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1.分歧管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2.规格：T3Q02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1.分歧管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2.规格：T3Q03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2.规格：φ41.3，保温材料采用19mm厚的阻燃发泡橡塑材料，追加冷媒，系统调试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2.规格：φ38.1，保温材料采用19mm厚的阻燃发泡橡塑材料，追加冷媒，系统调试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2.规格：φ31.8，保温材料采用19mm厚的阻燃发泡橡塑材料，追加冷媒，系统调试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2.规格：φ28.88，保温材料采用19mm厚的阻燃发泡橡塑材料，追加冷媒，系统调试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2.规格：φ28.58，保温材料采用19mm厚的阻燃发泡橡塑材料，追加冷媒，系统调试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2.规格：φ22.23，保温材料采用19mm厚的阻燃发泡橡塑材料，追加冷媒，系统调试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164.78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2.规格：φ19.05，保温材料采用19mm厚的阻燃发泡橡塑材料，追加冷媒，系统调试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2.规格：φ15.88，保温材料采用19mm厚的阻燃发泡橡塑材料，追加冷媒，系统调试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274.62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2.规格：φ12.7，保温材料采用19mm厚的阻燃发泡橡塑材料，追加冷媒，系统调试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2.规格：φ9.53，保温材料采用19mm厚的阻燃发泡橡塑材料，追加冷媒，系统调试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低压铜及铜合金管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1.多联机专业铜管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2.规格：φ6.35，保温材料采用19mm厚的阻燃发泡橡塑材料，追加冷媒，系统调试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1.名称:PVC冷凝水管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2.规格:DN25，保温材料采用19mm厚的阻燃发泡橡塑材料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1.名称:PVC冷凝水管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2.规格:DN32，保温材料采用19mm厚的阻燃发泡橡塑材料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1.名称:PVC冷凝水管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2.规格:DN40，保温材料采用19mm厚的阻燃发泡橡塑材料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1.名称:PVC冷凝水管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2.规格:DN50，保温材料采用19mm厚的阻燃发泡橡塑材料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2.型号:TK1-4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2.型号:AK-1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2.型号:AK-2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2.型号:AK-3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2.型号:AK-4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2.型号:AK-5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1.名称:镀锌线槽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2.规格:MR200x100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3.规格:SC20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4.配置形式:明配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5.接地要求:符合设计及施工规范要求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3.规格:SC25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4.配置形式:明配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5.接地要求:符合设计及施工规范要求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3.规格:SC32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4.配置形式:明配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5.接地要求:符合设计及施工规范要求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3.规格:SC50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4.配置形式:明配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5.接地要求:符合设计及施工规范要求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3.型号:RVV-3*2.5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3.型号:RVV3*0.75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1.名称:铜芯电力电缆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2.规格:WDZ-YJY-5X2.5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1.名称:铜芯电力电缆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2.规格:WDZ-YJY-5X10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1.名称:铜芯电力电缆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2.规格:WDZ-BJY-3*25+2*16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铁构件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1.名称:支架制作与安装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2.除锈，刷油两道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2.型号:ACK1.4.3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3.安装方式:悬挂式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2.型号:ACK2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3.安装方式:悬挂式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3.规格:SC20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4.配置形式:明配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5.接地要求:符合设计及施工规范要求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3.型号:WDZ-BYJ-3*2.5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1.名称:四联单控开关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2.型号:600*600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3.规格:32W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4.类型:吸顶安装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2.型号:1200*600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3.规格:64W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4.类型:吸顶安装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1.名称:Φ148筒灯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2.安装形式:嵌入式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1.配电箱拆除,运至指定地点,清理现场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灯盘拆除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1.灯盘拆除,运至指定地点,清理现场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筒灯拆除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1.筒灯拆除,运至指定地点,清理现场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1.配管拆除,运至指定地点,清理现场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开关拆除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1.开关拆除,运至指定地点,清理现场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2.完成本清单项目所需的一切相关工作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高层施工增加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脚手架搭拆费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项目名称：装饰部分</w:t>
      </w:r>
    </w:p>
    <w:tbl>
      <w:tblPr>
        <w:tblStyle w:val="9"/>
        <w:tblW w:w="9285" w:type="dxa"/>
        <w:tblInd w:w="5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84"/>
        <w:gridCol w:w="2834"/>
        <w:gridCol w:w="720"/>
        <w:gridCol w:w="870"/>
        <w:gridCol w:w="1065"/>
        <w:gridCol w:w="870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9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1.面层材料品种、规格:600x600x1.2mm铝扣板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2.吊顶形式、吊杆规格、高度:吊挂式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3.龙骨材料种类、规格、中距:φ10mm钢筋吊杆C50轻钢主龙骨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4.综合考虑现场施工条件，完成该清单下的一切相关工作。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633.26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1.钢筋混凝土楼板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2.吊顶顶距离结构梁板、梁底≤1500时用M10膨胀螺栓连镀锌吊杆，间距900*900;吊顶距离结构梁板、梁底＞1500时，加角钢转换层，双向角钢间距900吊牢60系列上人轻钢龙骨骨架，主龙骨中距900，次龙骨中距400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3.轻质不燃板，专用自攻螺钉拧牢，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4.孔眼用外墙腻子填平（防锈），阴、阳角及板接缝处分别贴专用封缝带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5.面贴特殊饰面板。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663.58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拆除对象：铝单板天花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拆除对象：特殊饰面天花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1.成品检修口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废料外运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1废料外运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活动脚手架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单独装饰装修工程垂直运输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装饰部分合计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项目名称：消防改造部分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2层消防系统改造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水喷淋钢管 DN25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1.安装部位(室内、外):室内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2.材质:热镀锌钢管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3.规格:DN25mm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4.连接方式:螺纹连接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68℃水喷头（下喷）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1.名称:68℃水喷头（下喷）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2.有、无吊项:有吊顶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3.材质:铜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4.型号、规格:DN15mm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水灭火控制装置调试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1.名称:自动喷水灭火系统调试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原有水喷头拆除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1.内容:根据装修要求需要拆除原有水喷头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2.有、无吊项:有吊顶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原有水喷淋钢管拆除 DN25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1.内容：根据装修要求将原有水喷淋钢管拆除 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2.材质:热镀锌钢管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3.规格:DN25mm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4.连接方式:螺纹连接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烟感探测器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1.名称:烟感探测器（北大青鸟）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2.线制:总线制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消防广播(扬声器)移位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1、名称:消防广播移位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2、功率:3W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3、安装方式:吸顶安装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消防警铃移位安装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1、名称:消防警铃移位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2、规格:24V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手动报警按钮移位安装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1.名称:手动报警按钮移位安装（北大青鸟）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2.线制:总线制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报警二总线 ZR-RVS-2*1.5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1.名称:报警二总线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2.规格:ZR-RVS-2*1.5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 ￠16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1.名称:金属软管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2.规格:￠16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自动报警系统调试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1、自动报警系统装置调试 64点以下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新应急灯安装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1.名称:应急灯移位安装（平安）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2.规格:90min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疏散指示灯安装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1.名称:疏散指示灯安装（平安）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2.规格:30min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 MT20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2.规格:DN20*1.5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 ZR-BV-2*2.5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2.规格:ZR-BV-2*2.5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3层消防系统改造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水喷淋钢管 DN25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1.安装部位(室内、外):室内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2.材质:热镀锌钢管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3.规格:DN25mm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4.连接方式:螺纹连接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68℃水喷头（下喷）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1.名称:68℃水喷头（下喷）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2.有、无吊项:有吊顶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3.材质:铜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4.型号、规格:DN15mm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水灭火控制装置调试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1.名称:自动喷水灭火系统调试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原有水喷头拆除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1.内容:根据装修要求需要拆除原有水喷头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2.有、无吊项:有吊顶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原有水喷淋钢管拆除 DN25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1.内容：根据装修要求将原有水喷淋钢管拆除 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2.材质:热镀锌钢管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3.规格:DN25mm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4.连接方式:螺纹连接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烟感探测器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1.名称:烟感探测器（北大青鸟）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2.线制:总线制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消防广播(扬声器)移位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1、名称:消防广播移位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2、功率:3W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3、安装方式:吸顶安装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消防警铃移位安装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1、名称:消防警铃移位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2、规格:24V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手动报警按钮移位安装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1.名称:手动报警按钮移位安装（北大青鸟）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2.线制:总线制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报警二总线 ZR-RVS-2*1.5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1.名称:报警二总线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2.规格:ZR-RVS-2*1.5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 ￠16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1.名称:金属软管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2.规格:￠16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新应急灯安装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1.名称:应急灯移位安装（平安）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2.规格:90min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疏散指示灯安装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1.名称:疏散指示灯安装（平安）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2.规格:30min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 MT20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2.规格:DN20*1.5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 ZR-BV-2*2.5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2.规格:ZR-BV-2*2.5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高层施工增加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脚手架搭拆费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消防改造部分合计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669" w:bottom="144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433438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43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6D053"/>
    <w:multiLevelType w:val="singleLevel"/>
    <w:tmpl w:val="6436D0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2QxNTMyNzY0ZTFiMzkyY2E5NzMyZWRkMTI2NDcifQ=="/>
  </w:docVars>
  <w:rsids>
    <w:rsidRoot w:val="004701EA"/>
    <w:rsid w:val="00091215"/>
    <w:rsid w:val="000C025D"/>
    <w:rsid w:val="000C2DE3"/>
    <w:rsid w:val="000F104F"/>
    <w:rsid w:val="001C3B21"/>
    <w:rsid w:val="001D160B"/>
    <w:rsid w:val="001F615D"/>
    <w:rsid w:val="00307372"/>
    <w:rsid w:val="00325A3D"/>
    <w:rsid w:val="003E2CB8"/>
    <w:rsid w:val="003F5ADE"/>
    <w:rsid w:val="004701EA"/>
    <w:rsid w:val="004A60B0"/>
    <w:rsid w:val="00637BFF"/>
    <w:rsid w:val="00673FB7"/>
    <w:rsid w:val="006F37CF"/>
    <w:rsid w:val="00730344"/>
    <w:rsid w:val="00832ECA"/>
    <w:rsid w:val="008A37A7"/>
    <w:rsid w:val="008A6A9C"/>
    <w:rsid w:val="009535E5"/>
    <w:rsid w:val="009C46E6"/>
    <w:rsid w:val="00A9018C"/>
    <w:rsid w:val="00B12733"/>
    <w:rsid w:val="00B24F00"/>
    <w:rsid w:val="00BA706B"/>
    <w:rsid w:val="00BC5D39"/>
    <w:rsid w:val="00C13BA7"/>
    <w:rsid w:val="00CD56FA"/>
    <w:rsid w:val="00CD6DAB"/>
    <w:rsid w:val="00D11179"/>
    <w:rsid w:val="00E214A5"/>
    <w:rsid w:val="00EF73A5"/>
    <w:rsid w:val="00F22A58"/>
    <w:rsid w:val="00F35447"/>
    <w:rsid w:val="00F6773E"/>
    <w:rsid w:val="00F75820"/>
    <w:rsid w:val="00F8202F"/>
    <w:rsid w:val="00FB6396"/>
    <w:rsid w:val="08A128FD"/>
    <w:rsid w:val="0A3E54A5"/>
    <w:rsid w:val="0B703CD3"/>
    <w:rsid w:val="0F8F63FA"/>
    <w:rsid w:val="11681887"/>
    <w:rsid w:val="151679B9"/>
    <w:rsid w:val="1C44694B"/>
    <w:rsid w:val="1EB6755D"/>
    <w:rsid w:val="2119430C"/>
    <w:rsid w:val="297B307D"/>
    <w:rsid w:val="2C4B162F"/>
    <w:rsid w:val="2EBC045D"/>
    <w:rsid w:val="2EC456C9"/>
    <w:rsid w:val="3112096E"/>
    <w:rsid w:val="31701598"/>
    <w:rsid w:val="33462B51"/>
    <w:rsid w:val="33EA2BD2"/>
    <w:rsid w:val="36AD2EE7"/>
    <w:rsid w:val="36C80F8C"/>
    <w:rsid w:val="380B4369"/>
    <w:rsid w:val="3C4B1DF2"/>
    <w:rsid w:val="3D1141CF"/>
    <w:rsid w:val="3F113241"/>
    <w:rsid w:val="3FB0153F"/>
    <w:rsid w:val="3FD87226"/>
    <w:rsid w:val="403B1563"/>
    <w:rsid w:val="424A2705"/>
    <w:rsid w:val="43723D05"/>
    <w:rsid w:val="43CF76D0"/>
    <w:rsid w:val="446D6672"/>
    <w:rsid w:val="478D6B48"/>
    <w:rsid w:val="52914391"/>
    <w:rsid w:val="55894054"/>
    <w:rsid w:val="62651192"/>
    <w:rsid w:val="637C5041"/>
    <w:rsid w:val="68D4417F"/>
    <w:rsid w:val="6A53696F"/>
    <w:rsid w:val="6C8E4B33"/>
    <w:rsid w:val="6F3E733C"/>
    <w:rsid w:val="6FC860C0"/>
    <w:rsid w:val="6FCC1CBF"/>
    <w:rsid w:val="70FC4273"/>
    <w:rsid w:val="715A543E"/>
    <w:rsid w:val="71E126C8"/>
    <w:rsid w:val="7231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宋体"/>
      <w:kern w:val="0"/>
      <w:sz w:val="24"/>
      <w:szCs w:val="24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jc w:val="left"/>
      <w:outlineLvl w:val="1"/>
    </w:pPr>
    <w:rPr>
      <w:rFonts w:ascii="宋体"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adjustRightInd w:val="0"/>
      <w:snapToGrid w:val="0"/>
      <w:spacing w:line="560" w:lineRule="atLeast"/>
      <w:jc w:val="center"/>
    </w:pPr>
    <w:rPr>
      <w:rFonts w:ascii="宋体" w:hAnsi="宋体"/>
      <w:b/>
      <w:bCs/>
      <w:sz w:val="44"/>
      <w:szCs w:val="24"/>
    </w:rPr>
  </w:style>
  <w:style w:type="paragraph" w:styleId="6">
    <w:name w:val="footer"/>
    <w:basedOn w:val="1"/>
    <w:link w:val="15"/>
    <w:unhideWhenUsed/>
    <w:qFormat/>
    <w:uiPriority w:val="99"/>
    <w:pPr>
      <w:pBdr>
        <w:top w:val="single" w:color="auto" w:sz="4" w:space="1"/>
      </w:pBdr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4" w:space="1"/>
      </w:pBdr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3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文字 Char"/>
    <w:basedOn w:val="11"/>
    <w:link w:val="4"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批注主题 Char"/>
    <w:basedOn w:val="12"/>
    <w:link w:val="8"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14">
    <w:name w:val="页眉 Char"/>
    <w:basedOn w:val="11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10"/>
    <w:basedOn w:val="11"/>
    <w:qFormat/>
    <w:uiPriority w:val="0"/>
    <w:rPr>
      <w:rFonts w:hint="default" w:ascii="Calibri" w:hAnsi="Calibri" w:cs="Calibri"/>
    </w:rPr>
  </w:style>
  <w:style w:type="character" w:customStyle="1" w:styleId="17">
    <w:name w:val="15"/>
    <w:basedOn w:val="11"/>
    <w:qFormat/>
    <w:uiPriority w:val="0"/>
    <w:rPr>
      <w:rFonts w:hint="default" w:ascii="Calibri" w:hAnsi="Calibri" w:cs="Calibri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页脚2"/>
    <w:basedOn w:val="1"/>
    <w:qFormat/>
    <w:uiPriority w:val="0"/>
    <w:pPr>
      <w:widowControl/>
      <w:pBdr>
        <w:top w:val="single" w:color="auto" w:sz="6" w:space="0"/>
      </w:pBdr>
      <w:jc w:val="right"/>
      <w:textAlignment w:val="center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ABBA08-6CE5-4B3D-AF30-16271F23E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1234</Words>
  <Characters>1261</Characters>
  <Lines>198</Lines>
  <Paragraphs>55</Paragraphs>
  <TotalTime>38</TotalTime>
  <ScaleCrop>false</ScaleCrop>
  <LinksUpToDate>false</LinksUpToDate>
  <CharactersWithSpaces>1267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2022-05-24T02:32:00Z</dcterms:created>
  <dc:creator>Administrator</dc:creator>
  <cp:lastModifiedBy>吴瑞敏</cp:lastModifiedBy>
  <dcterms:modified xsi:type="dcterms:W3CDTF">2023-12-12T08:55:57Z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3B5A470586654E3D87348AB7889574AF_13</vt:lpwstr>
  </property>
</Properties>
</file>