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69293368"/>
      <w:bookmarkStart w:id="1" w:name="_Toc13067021"/>
      <w:bookmarkStart w:id="2" w:name="_Toc435109306"/>
      <w:bookmarkStart w:id="3" w:name="_Toc435514850"/>
      <w:bookmarkStart w:id="4" w:name="_Toc435115055"/>
      <w:r>
        <w:rPr>
          <w:rFonts w:hint="eastAsia"/>
          <w:b/>
          <w:bCs/>
          <w:sz w:val="28"/>
          <w:szCs w:val="28"/>
          <w:lang w:val="en-US" w:eastAsia="zh-CN"/>
        </w:rPr>
        <w:t>服务</w:t>
      </w:r>
      <w:r>
        <w:rPr>
          <w:rFonts w:hint="eastAsia"/>
          <w:b/>
          <w:bCs/>
          <w:sz w:val="28"/>
          <w:szCs w:val="28"/>
        </w:rPr>
        <w:t>采购需求</w:t>
      </w:r>
      <w:bookmarkEnd w:id="0"/>
      <w:bookmarkEnd w:id="1"/>
    </w:p>
    <w:p>
      <w:pPr>
        <w:pStyle w:val="25"/>
        <w:rPr>
          <w:rFonts w:hint="eastAsia"/>
        </w:rPr>
      </w:pPr>
    </w:p>
    <w:p>
      <w:pPr>
        <w:pStyle w:val="5"/>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rPr>
        <w:t>① 20</w:t>
      </w:r>
      <w:r>
        <w:rPr>
          <w:rFonts w:hint="eastAsia" w:asciiTheme="minorEastAsia" w:hAnsiTheme="minorEastAsia"/>
          <w:sz w:val="21"/>
          <w:szCs w:val="21"/>
          <w:lang w:val="en-US" w:eastAsia="zh-CN"/>
        </w:rPr>
        <w:t>22</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10"/>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13067017"/>
      <w:bookmarkStart w:id="7" w:name="_Toc13067019"/>
      <w:bookmarkStart w:id="8" w:name="_Toc69293369"/>
      <w:bookmarkStart w:id="9" w:name="_Toc13067022"/>
      <w:r>
        <w:rPr>
          <w:rFonts w:hint="eastAsia" w:hAnsi="宋体"/>
          <w:b/>
          <w:sz w:val="24"/>
          <w:szCs w:val="24"/>
          <w:lang w:val="en-US" w:eastAsia="zh-CN"/>
        </w:rPr>
        <w:t>二、</w:t>
      </w:r>
      <w:r>
        <w:rPr>
          <w:rFonts w:hint="eastAsia" w:hAnsi="宋体"/>
          <w:b/>
          <w:sz w:val="24"/>
          <w:szCs w:val="24"/>
        </w:rPr>
        <w:t>项目基本概况</w:t>
      </w:r>
    </w:p>
    <w:p>
      <w:pPr>
        <w:pStyle w:val="10"/>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pPr>
        <w:pStyle w:val="10"/>
        <w:numPr>
          <w:ilvl w:val="0"/>
          <w:numId w:val="0"/>
        </w:numPr>
        <w:tabs>
          <w:tab w:val="left" w:pos="540"/>
        </w:tabs>
        <w:snapToGrid w:val="0"/>
        <w:spacing w:before="120" w:beforeLines="50" w:line="360" w:lineRule="auto"/>
        <w:ind w:leftChars="0"/>
        <w:outlineLvl w:val="1"/>
        <w:rPr>
          <w:rFonts w:hint="eastAsia" w:hAnsi="宋体"/>
          <w:b/>
          <w:sz w:val="24"/>
          <w:szCs w:val="24"/>
        </w:rPr>
      </w:pPr>
    </w:p>
    <w:p>
      <w:pPr>
        <w:pStyle w:val="10"/>
        <w:numPr>
          <w:ilvl w:val="0"/>
          <w:numId w:val="2"/>
        </w:numPr>
        <w:tabs>
          <w:tab w:val="left" w:pos="540"/>
          <w:tab w:val="left" w:pos="993"/>
        </w:tabs>
        <w:snapToGrid w:val="0"/>
        <w:spacing w:line="360" w:lineRule="auto"/>
        <w:rPr>
          <w:rFonts w:hAnsi="宋体"/>
          <w:b/>
          <w:bCs/>
          <w:sz w:val="24"/>
        </w:rPr>
      </w:pPr>
      <w:r>
        <w:rPr>
          <w:rFonts w:hAnsi="宋体"/>
          <w:b/>
          <w:bCs/>
          <w:sz w:val="24"/>
        </w:rPr>
        <w:t>服务范围</w:t>
      </w:r>
      <w:r>
        <w:rPr>
          <w:rFonts w:hint="eastAsia" w:hAnsi="宋体"/>
          <w:b/>
          <w:bCs/>
          <w:sz w:val="24"/>
        </w:rPr>
        <w:t>：</w:t>
      </w:r>
      <w:r>
        <w:rPr>
          <w:rFonts w:hint="eastAsia" w:hAnsi="宋体"/>
          <w:b/>
          <w:bCs/>
          <w:sz w:val="24"/>
          <w:lang w:val="en-US" w:eastAsia="zh-CN"/>
        </w:rPr>
        <w:t>显微镜成像系统保修服务</w:t>
      </w:r>
      <w:r>
        <w:rPr>
          <w:rFonts w:hint="eastAsia" w:hAnsi="宋体"/>
          <w:b/>
          <w:bCs/>
          <w:sz w:val="24"/>
        </w:rPr>
        <w:t>。</w:t>
      </w:r>
    </w:p>
    <w:p>
      <w:pPr>
        <w:pStyle w:val="10"/>
        <w:numPr>
          <w:ilvl w:val="0"/>
          <w:numId w:val="2"/>
        </w:numPr>
        <w:tabs>
          <w:tab w:val="left" w:pos="540"/>
          <w:tab w:val="left" w:pos="993"/>
        </w:tabs>
        <w:snapToGrid w:val="0"/>
        <w:spacing w:line="360" w:lineRule="auto"/>
        <w:rPr>
          <w:rFonts w:hAnsi="宋体"/>
          <w:b/>
          <w:bCs/>
          <w:sz w:val="24"/>
        </w:rPr>
      </w:pPr>
      <w:r>
        <w:rPr>
          <w:rFonts w:hAnsi="宋体"/>
          <w:b/>
          <w:bCs/>
          <w:sz w:val="24"/>
        </w:rPr>
        <w:t>服务要求</w:t>
      </w:r>
      <w:r>
        <w:rPr>
          <w:rFonts w:hint="eastAsia" w:hAnsi="宋体"/>
          <w:b/>
          <w:bCs/>
          <w:sz w:val="24"/>
        </w:rPr>
        <w:t>：提供服务包含但不限于：安全检查、</w:t>
      </w:r>
      <w:r>
        <w:rPr>
          <w:rFonts w:hint="eastAsia" w:hAnsi="宋体"/>
          <w:b/>
          <w:bCs/>
          <w:sz w:val="24"/>
          <w:lang w:val="en-US" w:eastAsia="zh-CN"/>
        </w:rPr>
        <w:t>图像</w:t>
      </w:r>
      <w:r>
        <w:rPr>
          <w:rFonts w:hint="eastAsia" w:hAnsi="宋体"/>
          <w:b/>
          <w:bCs/>
          <w:sz w:val="24"/>
        </w:rPr>
        <w:t>质量检查、设备除尘保养、运行状态检查，并提供定期维护保养报告。保障设备的正常使用。</w:t>
      </w:r>
    </w:p>
    <w:p>
      <w:pPr>
        <w:pStyle w:val="10"/>
        <w:numPr>
          <w:ilvl w:val="0"/>
          <w:numId w:val="2"/>
        </w:numPr>
        <w:tabs>
          <w:tab w:val="left" w:pos="993"/>
        </w:tabs>
        <w:snapToGrid w:val="0"/>
        <w:spacing w:line="360" w:lineRule="auto"/>
        <w:ind w:hanging="414"/>
        <w:rPr>
          <w:rFonts w:hAnsi="宋体"/>
          <w:b/>
          <w:bCs/>
          <w:sz w:val="24"/>
        </w:rPr>
      </w:pPr>
      <w:r>
        <w:rPr>
          <w:rFonts w:hAnsi="宋体"/>
          <w:b/>
          <w:bCs/>
          <w:sz w:val="24"/>
        </w:rPr>
        <w:t>服务时间</w:t>
      </w:r>
      <w:r>
        <w:rPr>
          <w:rFonts w:hint="eastAsia" w:hAnsi="宋体"/>
          <w:b/>
          <w:bCs/>
          <w:sz w:val="24"/>
        </w:rPr>
        <w:t>（履行期限）：</w:t>
      </w:r>
      <w:r>
        <w:rPr>
          <w:rFonts w:hint="eastAsia" w:hAnsi="宋体"/>
          <w:b/>
          <w:bCs/>
          <w:sz w:val="24"/>
          <w:lang w:val="en-US" w:eastAsia="zh-CN"/>
        </w:rPr>
        <w:t>3</w:t>
      </w:r>
      <w:r>
        <w:rPr>
          <w:rFonts w:hint="eastAsia" w:hAnsi="宋体"/>
          <w:b/>
          <w:bCs/>
          <w:sz w:val="24"/>
        </w:rPr>
        <w:t>年。</w:t>
      </w:r>
    </w:p>
    <w:p>
      <w:pPr>
        <w:pStyle w:val="10"/>
        <w:numPr>
          <w:ilvl w:val="0"/>
          <w:numId w:val="2"/>
        </w:numPr>
        <w:tabs>
          <w:tab w:val="left" w:pos="540"/>
          <w:tab w:val="left" w:pos="993"/>
        </w:tabs>
        <w:snapToGrid w:val="0"/>
        <w:spacing w:line="360" w:lineRule="auto"/>
        <w:rPr>
          <w:rFonts w:hAnsi="宋体"/>
          <w:b/>
          <w:bCs/>
          <w:sz w:val="24"/>
          <w:szCs w:val="24"/>
        </w:rPr>
      </w:pPr>
      <w:r>
        <w:rPr>
          <w:rFonts w:hAnsi="宋体"/>
          <w:b/>
          <w:bCs/>
          <w:sz w:val="24"/>
        </w:rPr>
        <w:t>服务标准</w:t>
      </w:r>
      <w:r>
        <w:rPr>
          <w:rFonts w:hint="eastAsia" w:hAnsi="宋体"/>
          <w:b/>
          <w:bCs/>
          <w:sz w:val="24"/>
        </w:rPr>
        <w:t>：本项目采购人需求提出的是最低限度的要求，</w:t>
      </w:r>
      <w:r>
        <w:rPr>
          <w:rFonts w:hint="eastAsia" w:hAnsi="宋体"/>
          <w:b/>
          <w:bCs/>
          <w:sz w:val="24"/>
          <w:lang w:val="en-US" w:eastAsia="zh-CN"/>
        </w:rPr>
        <w:t>服务供应商</w:t>
      </w:r>
      <w:r>
        <w:rPr>
          <w:rFonts w:hint="eastAsia" w:hAnsi="宋体"/>
          <w:b/>
          <w:bCs/>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1126"/>
        <w:gridCol w:w="1925"/>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72"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75"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983"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72" w:type="pct"/>
            <w:tcBorders>
              <w:bottom w:val="single" w:color="auto" w:sz="12" w:space="0"/>
            </w:tcBorders>
            <w:vAlign w:val="center"/>
          </w:tcPr>
          <w:p>
            <w:pPr>
              <w:widowControl/>
              <w:jc w:val="center"/>
              <w:rPr>
                <w:rFonts w:hint="default" w:ascii="宋体" w:eastAsia="宋体"/>
                <w:bCs/>
                <w:sz w:val="24"/>
                <w:lang w:val="en-US" w:eastAsia="zh-CN"/>
              </w:rPr>
            </w:pPr>
            <w:r>
              <w:rPr>
                <w:rFonts w:hint="eastAsia" w:ascii="微软雅黑" w:hAnsi="微软雅黑" w:eastAsia="微软雅黑" w:cs="微软雅黑"/>
                <w:color w:val="000000"/>
                <w:sz w:val="32"/>
                <w:szCs w:val="32"/>
                <w:lang w:val="en-US" w:eastAsia="zh-CN" w:bidi="ar"/>
              </w:rPr>
              <w:t>显微镜成像系统保修服务</w:t>
            </w:r>
          </w:p>
        </w:tc>
        <w:tc>
          <w:tcPr>
            <w:tcW w:w="575" w:type="pct"/>
            <w:tcBorders>
              <w:bottom w:val="single" w:color="auto" w:sz="12" w:space="0"/>
            </w:tcBorders>
            <w:vAlign w:val="center"/>
          </w:tcPr>
          <w:p>
            <w:pPr>
              <w:snapToGrid w:val="0"/>
              <w:jc w:val="center"/>
              <w:rPr>
                <w:rFonts w:ascii="宋体"/>
                <w:bCs/>
                <w:sz w:val="24"/>
              </w:rPr>
            </w:pPr>
            <w:r>
              <w:rPr>
                <w:rFonts w:hint="eastAsia" w:ascii="微软雅黑" w:hAnsi="微软雅黑" w:eastAsia="微软雅黑" w:cs="微软雅黑"/>
                <w:color w:val="000000"/>
                <w:sz w:val="32"/>
                <w:szCs w:val="32"/>
                <w:lang w:val="en-US" w:eastAsia="zh-CN" w:bidi="ar"/>
              </w:rPr>
              <w:t>1台</w:t>
            </w:r>
          </w:p>
        </w:tc>
        <w:tc>
          <w:tcPr>
            <w:tcW w:w="983" w:type="pct"/>
            <w:tcBorders>
              <w:bottom w:val="single" w:color="auto" w:sz="12" w:space="0"/>
              <w:right w:val="single" w:color="auto" w:sz="4" w:space="0"/>
            </w:tcBorders>
            <w:vAlign w:val="center"/>
          </w:tcPr>
          <w:p>
            <w:pPr>
              <w:widowControl/>
              <w:jc w:val="center"/>
              <w:rPr>
                <w:rFonts w:hint="default" w:ascii="宋体" w:hAnsi="宋体" w:eastAsia="宋体"/>
                <w:snapToGrid/>
                <w:spacing w:val="0"/>
                <w:kern w:val="2"/>
                <w:szCs w:val="24"/>
                <w:lang w:val="en-US" w:eastAsia="zh-CN"/>
              </w:rPr>
            </w:pPr>
            <w:r>
              <w:rPr>
                <w:rFonts w:hint="eastAsia" w:ascii="微软雅黑" w:hAnsi="微软雅黑" w:eastAsia="微软雅黑" w:cs="微软雅黑"/>
                <w:color w:val="000000"/>
                <w:sz w:val="32"/>
                <w:szCs w:val="32"/>
                <w:lang w:val="en-US" w:eastAsia="zh-CN" w:bidi="ar"/>
              </w:rPr>
              <w:t>78万</w:t>
            </w:r>
          </w:p>
        </w:tc>
        <w:tc>
          <w:tcPr>
            <w:tcW w:w="1168" w:type="pct"/>
            <w:tcBorders>
              <w:bottom w:val="single" w:color="auto" w:sz="12" w:space="0"/>
              <w:right w:val="single" w:color="auto" w:sz="4" w:space="0"/>
            </w:tcBorders>
            <w:vAlign w:val="center"/>
          </w:tcPr>
          <w:p>
            <w:pPr>
              <w:pStyle w:val="29"/>
              <w:snapToGrid w:val="0"/>
              <w:spacing w:before="0" w:after="0" w:line="240" w:lineRule="auto"/>
              <w:jc w:val="center"/>
              <w:rPr>
                <w:rFonts w:ascii="宋体" w:hAnsi="宋体"/>
                <w:snapToGrid/>
                <w:spacing w:val="0"/>
                <w:kern w:val="2"/>
                <w:szCs w:val="24"/>
              </w:rPr>
            </w:pPr>
            <w:r>
              <w:rPr>
                <w:rFonts w:hint="eastAsia" w:ascii="宋体" w:hAnsi="宋体"/>
                <w:snapToGrid/>
                <w:spacing w:val="0"/>
                <w:kern w:val="2"/>
                <w:szCs w:val="24"/>
              </w:rPr>
              <w:t>其他未列明行业</w:t>
            </w:r>
          </w:p>
        </w:tc>
      </w:tr>
    </w:tbl>
    <w:p>
      <w:pPr>
        <w:pStyle w:val="2"/>
        <w:rPr>
          <w:rFonts w:hint="eastAsia"/>
          <w:lang w:val="en-US" w:eastAsia="zh-CN"/>
        </w:rPr>
      </w:pP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w:t>
      </w:r>
      <w:r>
        <w:rPr>
          <w:rFonts w:hint="eastAsia" w:asciiTheme="minorEastAsia" w:hAnsiTheme="minorEastAsia" w:eastAsiaTheme="minorEastAsia" w:cstheme="minorEastAsia"/>
          <w:sz w:val="24"/>
          <w:szCs w:val="24"/>
          <w:lang w:val="en-US" w:eastAsia="zh-CN"/>
        </w:rPr>
        <w:t>显微镜成像系统</w:t>
      </w:r>
      <w:r>
        <w:rPr>
          <w:rFonts w:hint="eastAsia" w:asciiTheme="minorEastAsia" w:hAnsiTheme="minorEastAsia" w:eastAsiaTheme="minorEastAsia" w:cstheme="minorEastAsia"/>
          <w:sz w:val="24"/>
          <w:szCs w:val="24"/>
        </w:rPr>
        <w:t>设备，配置如下表</w:t>
      </w:r>
    </w:p>
    <w:tbl>
      <w:tblPr>
        <w:tblStyle w:val="1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4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7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设备型号</w:t>
            </w:r>
          </w:p>
        </w:tc>
        <w:tc>
          <w:tcPr>
            <w:tcW w:w="264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设备序列号</w:t>
            </w: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激光器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70" w:type="dxa"/>
            <w:vMerge w:val="restar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333333"/>
                <w:sz w:val="24"/>
                <w:szCs w:val="24"/>
                <w:lang w:val="en-US" w:eastAsia="zh-CN"/>
              </w:rPr>
            </w:pPr>
            <w:r>
              <w:rPr>
                <w:rFonts w:hint="eastAsia" w:ascii="宋体" w:hAnsi="宋体" w:eastAsia="宋体" w:cs="宋体"/>
                <w:color w:val="000000"/>
                <w:sz w:val="20"/>
                <w:szCs w:val="20"/>
                <w:lang w:val="en-US" w:eastAsia="zh-CN"/>
              </w:rPr>
              <w:t xml:space="preserve">TCS SP8 </w:t>
            </w:r>
          </w:p>
        </w:tc>
        <w:tc>
          <w:tcPr>
            <w:tcW w:w="2640" w:type="dxa"/>
            <w:vMerge w:val="restart"/>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宋体" w:hAnsi="宋体" w:eastAsia="宋体" w:cs="宋体"/>
                <w:color w:val="000000"/>
                <w:sz w:val="20"/>
                <w:szCs w:val="20"/>
                <w:lang w:val="en-US" w:eastAsia="zh-CN"/>
              </w:rPr>
              <w:t>8100001573</w:t>
            </w: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405nm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7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264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488nm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7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264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3960" w:type="dxa"/>
            <w:shd w:val="clear" w:color="auto" w:fill="auto"/>
            <w:vAlign w:val="center"/>
          </w:tcPr>
          <w:p>
            <w:pPr>
              <w:spacing w:line="360" w:lineRule="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552nm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7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rPr>
            </w:pPr>
          </w:p>
        </w:tc>
        <w:tc>
          <w:tcPr>
            <w:tcW w:w="2640" w:type="dxa"/>
            <w:vMerge w:val="continue"/>
            <w:shd w:val="clear" w:color="auto" w:fill="auto"/>
            <w:vAlign w:val="center"/>
          </w:tcPr>
          <w:p>
            <w:pPr>
              <w:spacing w:line="360" w:lineRule="auto"/>
              <w:rPr>
                <w:rFonts w:hint="eastAsia" w:asciiTheme="minorEastAsia" w:hAnsiTheme="minorEastAsia" w:eastAsiaTheme="minorEastAsia" w:cstheme="minorEastAsia"/>
                <w:color w:val="333333"/>
                <w:sz w:val="24"/>
                <w:szCs w:val="24"/>
                <w:lang w:val="en-US" w:eastAsia="zh-CN"/>
              </w:rPr>
            </w:pPr>
          </w:p>
        </w:tc>
        <w:tc>
          <w:tcPr>
            <w:tcW w:w="3960" w:type="dxa"/>
            <w:shd w:val="clear" w:color="auto" w:fill="auto"/>
            <w:vAlign w:val="center"/>
          </w:tcPr>
          <w:p>
            <w:pPr>
              <w:spacing w:line="360" w:lineRule="auto"/>
              <w:rPr>
                <w:rFonts w:hint="default"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sz w:val="24"/>
                <w:szCs w:val="24"/>
                <w:lang w:val="en-US" w:eastAsia="zh-CN"/>
              </w:rPr>
              <w:t>638nm   1个</w:t>
            </w:r>
          </w:p>
        </w:tc>
      </w:tr>
    </w:tbl>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2.服务范围：</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修复现有故障：更换488nm激光器,</w:t>
      </w:r>
      <w:r>
        <w:rPr>
          <w:rFonts w:hint="eastAsia" w:asciiTheme="minorEastAsia" w:hAnsiTheme="minorEastAsia" w:eastAsiaTheme="minorEastAsia" w:cstheme="minorEastAsia"/>
          <w:sz w:val="24"/>
          <w:szCs w:val="24"/>
        </w:rPr>
        <w:t>保修期内</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故障更换合法原厂全新</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(2)整机保修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整机保修，免费升级更新，质量监控监测，零备件的更换，日常保养维护。</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服务期限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.服务地点：采购人指定地点。</w:t>
      </w: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spacing w:line="276" w:lineRule="auto"/>
        <w:ind w:firstLine="240" w:firstLineChars="100"/>
        <w:rPr>
          <w:rFonts w:hint="eastAsia" w:ascii="宋体" w:hAnsi="宋体" w:eastAsia="宋体"/>
          <w:sz w:val="24"/>
          <w:lang w:eastAsia="zh-CN"/>
        </w:rPr>
      </w:pPr>
      <w:r>
        <w:rPr>
          <w:rFonts w:hint="eastAsia" w:ascii="宋体" w:hAnsi="宋体" w:eastAsia="宋体"/>
          <w:sz w:val="24"/>
        </w:rPr>
        <w:t>▲1.服务供应商具备专业服务团队。拥有至少2名具备原厂培训资质的工程师。为保证工程师的及时到达现场并提供有效的维修服务，服务供应商至少指定1名工程师负责本项目，同时提供2位原厂工程师进行相应的技术支持。（遴选文件中提供工程师名单、原厂工程师培训证书）</w:t>
      </w:r>
      <w:r>
        <w:rPr>
          <w:rFonts w:hint="eastAsia" w:ascii="宋体" w:hAnsi="宋体"/>
          <w:sz w:val="24"/>
          <w:lang w:eastAsia="zh-CN"/>
        </w:rPr>
        <w:t>。</w:t>
      </w:r>
    </w:p>
    <w:p>
      <w:pPr>
        <w:spacing w:line="276" w:lineRule="auto"/>
        <w:ind w:firstLine="240" w:firstLineChars="100"/>
        <w:rPr>
          <w:rFonts w:ascii="宋体" w:hAnsi="宋体" w:eastAsia="宋体"/>
          <w:sz w:val="24"/>
        </w:rPr>
      </w:pPr>
      <w:r>
        <w:rPr>
          <w:rFonts w:hint="eastAsia" w:ascii="宋体" w:hAnsi="宋体"/>
          <w:sz w:val="24"/>
          <w:lang w:val="en-US" w:eastAsia="zh-CN"/>
        </w:rPr>
        <w:t>2</w:t>
      </w:r>
      <w:r>
        <w:rPr>
          <w:rFonts w:ascii="宋体" w:hAnsi="宋体" w:eastAsia="宋体"/>
          <w:sz w:val="24"/>
        </w:rPr>
        <w:t>.提供24小时400或800免费维修服务热线，产品技术专家提供在线技术咨询和维修诊断。</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3</w:t>
      </w:r>
      <w:r>
        <w:rPr>
          <w:rFonts w:ascii="宋体" w:hAnsi="宋体" w:eastAsia="宋体"/>
          <w:sz w:val="24"/>
        </w:rPr>
        <w:t>.设备发生故障时，初次响应时间：2小时，并提供电话技术支持。现场响应时间：第二个工作日内到达设备使用现场进行故障排查及维修。</w:t>
      </w:r>
    </w:p>
    <w:p>
      <w:pPr>
        <w:spacing w:line="276" w:lineRule="auto"/>
        <w:rPr>
          <w:rFonts w:hint="eastAsia" w:ascii="宋体" w:hAnsi="宋体" w:eastAsia="宋体"/>
          <w:sz w:val="24"/>
          <w:lang w:eastAsia="zh-CN"/>
        </w:rPr>
      </w:pPr>
      <w:r>
        <w:rPr>
          <w:rFonts w:ascii="宋体" w:hAnsi="宋体" w:eastAsia="宋体"/>
          <w:sz w:val="24"/>
        </w:rPr>
        <w:t>▲</w:t>
      </w:r>
      <w:r>
        <w:rPr>
          <w:rFonts w:hint="eastAsia" w:ascii="宋体" w:hAnsi="宋体"/>
          <w:sz w:val="24"/>
          <w:lang w:val="en-US" w:eastAsia="zh-CN"/>
        </w:rPr>
        <w:t>4</w:t>
      </w:r>
      <w:r>
        <w:rPr>
          <w:rFonts w:ascii="宋体" w:hAnsi="宋体" w:eastAsia="宋体"/>
          <w:sz w:val="24"/>
        </w:rPr>
        <w:t>.</w:t>
      </w:r>
      <w:r>
        <w:rPr>
          <w:rFonts w:hint="eastAsia" w:ascii="宋体" w:hAnsi="宋体" w:eastAsia="宋体"/>
          <w:sz w:val="24"/>
        </w:rPr>
        <w:t>工程师一年应至少免费上门2次对仪器进行检查和校准，并出具检查和校准报告</w:t>
      </w:r>
      <w:r>
        <w:rPr>
          <w:rFonts w:hint="eastAsia" w:ascii="宋体" w:hAnsi="宋体" w:eastAsia="宋体"/>
          <w:sz w:val="24"/>
          <w:lang w:eastAsia="zh-CN"/>
        </w:rPr>
        <w:t>：</w:t>
      </w:r>
    </w:p>
    <w:p>
      <w:pPr>
        <w:pStyle w:val="2"/>
        <w:rPr>
          <w:rFonts w:hint="eastAsia" w:ascii="宋体" w:hAnsi="宋体" w:eastAsia="宋体"/>
          <w:sz w:val="24"/>
          <w:lang w:val="en-US" w:eastAsia="zh-CN"/>
        </w:rPr>
      </w:pPr>
      <w:r>
        <w:rPr>
          <w:rFonts w:hint="eastAsia" w:ascii="宋体" w:hAnsi="宋体" w:eastAsia="宋体"/>
          <w:sz w:val="24"/>
          <w:lang w:val="en-US" w:eastAsia="zh-CN"/>
        </w:rPr>
        <w:t xml:space="preserve">    4.1开机初始化检测；</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4.2电脑系统的检查；</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4.3机器内部灰尘清理；</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4.4外观检测；</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4.5各散热风扇及排风通道的检查和清理；</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4.6机械部分检测；</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4.7激光光路检测；</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4.8成像及分辨率检测；</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4.9明场BF透射光检测校准及保养；</w:t>
      </w:r>
    </w:p>
    <w:p>
      <w:pPr>
        <w:pStyle w:val="2"/>
        <w:ind w:firstLine="480" w:firstLineChars="200"/>
        <w:rPr>
          <w:rFonts w:hint="eastAsia" w:ascii="宋体" w:hAnsi="宋体" w:eastAsia="宋体"/>
          <w:sz w:val="24"/>
          <w:lang w:val="en-US" w:eastAsia="zh-CN"/>
        </w:rPr>
      </w:pPr>
      <w:r>
        <w:rPr>
          <w:rFonts w:hint="eastAsia" w:ascii="宋体" w:hAnsi="宋体" w:eastAsia="宋体"/>
          <w:sz w:val="24"/>
          <w:lang w:val="en-US" w:eastAsia="zh-CN"/>
        </w:rPr>
        <w:t>4.10荧光，反射光检测校准及保养；</w:t>
      </w:r>
    </w:p>
    <w:p>
      <w:pPr>
        <w:pStyle w:val="2"/>
        <w:ind w:firstLine="480" w:firstLineChars="200"/>
        <w:rPr>
          <w:rFonts w:hint="default"/>
          <w:lang w:val="en-US" w:eastAsia="zh-CN"/>
        </w:rPr>
      </w:pPr>
      <w:r>
        <w:rPr>
          <w:rFonts w:hint="eastAsia" w:ascii="宋体" w:hAnsi="宋体" w:eastAsia="宋体"/>
          <w:sz w:val="24"/>
          <w:lang w:val="en-US" w:eastAsia="zh-CN"/>
        </w:rPr>
        <w:t>4.11激光器功率测试校准及保养。</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 xml:space="preserve"> 5</w:t>
      </w:r>
      <w:r>
        <w:rPr>
          <w:rFonts w:ascii="宋体" w:hAnsi="宋体" w:eastAsia="宋体"/>
          <w:sz w:val="24"/>
        </w:rPr>
        <w:t>.提供无限次上门维修服务，含维修人员的工时费、差旅费（相关费用由</w:t>
      </w:r>
      <w:r>
        <w:rPr>
          <w:rFonts w:hint="eastAsia" w:ascii="宋体" w:hAnsi="宋体"/>
          <w:sz w:val="24"/>
          <w:lang w:val="en-US" w:eastAsia="zh-CN"/>
        </w:rPr>
        <w:t>服务供应商</w:t>
      </w:r>
      <w:r>
        <w:rPr>
          <w:rFonts w:ascii="宋体" w:hAnsi="宋体" w:eastAsia="宋体"/>
          <w:sz w:val="24"/>
        </w:rPr>
        <w:t>自行承担）。</w:t>
      </w:r>
    </w:p>
    <w:p>
      <w:pPr>
        <w:spacing w:line="276" w:lineRule="auto"/>
        <w:rPr>
          <w:rFonts w:ascii="宋体" w:hAnsi="宋体" w:eastAsia="宋体"/>
          <w:sz w:val="24"/>
        </w:rPr>
      </w:pPr>
      <w:r>
        <w:rPr>
          <w:rFonts w:hint="eastAsia" w:ascii="宋体" w:hAnsi="宋体" w:eastAsia="宋体"/>
          <w:sz w:val="24"/>
        </w:rPr>
        <w:t>▲</w:t>
      </w:r>
      <w:r>
        <w:rPr>
          <w:rFonts w:hint="eastAsia" w:ascii="宋体" w:hAnsi="宋体"/>
          <w:sz w:val="24"/>
          <w:lang w:val="en-US" w:eastAsia="zh-CN"/>
        </w:rPr>
        <w:t>6</w:t>
      </w:r>
      <w:r>
        <w:rPr>
          <w:rFonts w:ascii="宋体" w:hAnsi="宋体" w:eastAsia="宋体"/>
          <w:sz w:val="24"/>
        </w:rPr>
        <w:t>.在合同期内因故障而需更换的备件</w:t>
      </w:r>
      <w:r>
        <w:rPr>
          <w:rFonts w:hint="eastAsia" w:ascii="宋体" w:hAnsi="宋体" w:eastAsia="宋体"/>
          <w:sz w:val="24"/>
          <w:lang w:eastAsia="zh-CN"/>
        </w:rPr>
        <w:t>（</w:t>
      </w:r>
      <w:r>
        <w:rPr>
          <w:rFonts w:hint="eastAsia" w:ascii="宋体" w:hAnsi="宋体" w:eastAsia="宋体"/>
          <w:sz w:val="24"/>
          <w:lang w:val="en-US" w:eastAsia="zh-CN"/>
        </w:rPr>
        <w:t>包含：</w:t>
      </w:r>
      <w:r>
        <w:rPr>
          <w:rFonts w:hint="eastAsia" w:ascii="宋体" w:hAnsi="宋体" w:eastAsia="宋体"/>
          <w:sz w:val="24"/>
          <w:lang w:eastAsia="zh-CN"/>
        </w:rPr>
        <w:t>405nm、552nm、638nm、488nm激光器，</w:t>
      </w:r>
      <w:r>
        <w:rPr>
          <w:rFonts w:hint="eastAsia" w:asciiTheme="minorEastAsia" w:hAnsiTheme="minorEastAsia" w:eastAsiaTheme="minorEastAsia" w:cstheme="minorEastAsia"/>
          <w:sz w:val="24"/>
          <w:szCs w:val="24"/>
          <w:lang w:val="en-US" w:eastAsia="zh-CN"/>
        </w:rPr>
        <w:t>物镜、目镜，</w:t>
      </w:r>
      <w:r>
        <w:rPr>
          <w:rFonts w:hint="eastAsia" w:ascii="宋体" w:hAnsi="宋体" w:eastAsia="宋体"/>
          <w:sz w:val="24"/>
          <w:lang w:eastAsia="zh-CN"/>
        </w:rPr>
        <w:t>主板，检测板，检测器，Pinhole，连接板，光纤耦合器，AOBS控制器，AOBS晶体，电源板，聚光器，物镜转盘等）</w:t>
      </w:r>
      <w:r>
        <w:rPr>
          <w:rFonts w:ascii="宋体" w:hAnsi="宋体" w:eastAsia="宋体"/>
          <w:sz w:val="24"/>
        </w:rPr>
        <w:t>，不受数量限制。保证在≤48小时提供备件的能力，合同期内设备发生的维修备件一般情况下24小时到达医院，最长不超过7个工作日。</w:t>
      </w:r>
    </w:p>
    <w:p>
      <w:pPr>
        <w:spacing w:line="276" w:lineRule="auto"/>
        <w:rPr>
          <w:rFonts w:hint="eastAsia" w:ascii="宋体" w:hAnsi="宋体" w:eastAsia="宋体"/>
          <w:sz w:val="24"/>
        </w:rPr>
      </w:pPr>
      <w:r>
        <w:rPr>
          <w:rFonts w:hint="eastAsia" w:ascii="宋体" w:hAnsi="宋体" w:eastAsia="宋体"/>
          <w:sz w:val="24"/>
        </w:rPr>
        <w:t>▲7.维修所采用的全部备件，均可出示原厂检测合格证书以及中国海关总署出示的合法进口货物报关单；其中的激光器属于关键备件；所有备件可通过原厂400或800热线进行的备件信息查询。</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8</w:t>
      </w:r>
      <w:r>
        <w:rPr>
          <w:rFonts w:ascii="宋体" w:hAnsi="宋体" w:eastAsia="宋体"/>
          <w:sz w:val="24"/>
        </w:rPr>
        <w:t>.保证所保设备全年工作日的开机率≥95%，按照一年365天计算, 未达到的天数，按1:2比例顺延保修期时间。</w:t>
      </w:r>
    </w:p>
    <w:p>
      <w:pPr>
        <w:spacing w:line="276" w:lineRule="auto"/>
        <w:rPr>
          <w:rFonts w:ascii="宋体" w:hAnsi="宋体" w:eastAsia="宋体"/>
          <w:sz w:val="24"/>
        </w:rPr>
      </w:pPr>
      <w:r>
        <w:rPr>
          <w:rFonts w:ascii="宋体" w:hAnsi="宋体" w:eastAsia="宋体"/>
          <w:sz w:val="24"/>
        </w:rPr>
        <w:t xml:space="preserve">  </w:t>
      </w:r>
      <w:r>
        <w:rPr>
          <w:rFonts w:hint="eastAsia" w:ascii="宋体" w:hAnsi="宋体"/>
          <w:sz w:val="24"/>
          <w:lang w:val="en-US" w:eastAsia="zh-CN"/>
        </w:rPr>
        <w:t>9</w:t>
      </w:r>
      <w:r>
        <w:rPr>
          <w:rFonts w:ascii="宋体" w:hAnsi="宋体" w:eastAsia="宋体"/>
          <w:sz w:val="24"/>
        </w:rPr>
        <w:t>.合同期内，免费提供设备的改良性软件系统升级</w:t>
      </w:r>
      <w:r>
        <w:rPr>
          <w:rFonts w:hint="eastAsia" w:ascii="宋体" w:hAnsi="宋体" w:eastAsia="宋体"/>
          <w:sz w:val="24"/>
        </w:rPr>
        <w:t>（非功能性软件升级）</w:t>
      </w:r>
      <w:r>
        <w:rPr>
          <w:rFonts w:ascii="宋体" w:hAnsi="宋体" w:eastAsia="宋体"/>
          <w:sz w:val="24"/>
        </w:rPr>
        <w:t>。</w:t>
      </w:r>
    </w:p>
    <w:p>
      <w:pPr>
        <w:spacing w:line="276" w:lineRule="auto"/>
        <w:rPr>
          <w:rFonts w:hint="default" w:ascii="宋体" w:hAnsi="宋体" w:eastAsia="宋体"/>
          <w:sz w:val="24"/>
          <w:lang w:val="en-US" w:eastAsia="zh-CN"/>
        </w:rPr>
      </w:pPr>
      <w:r>
        <w:rPr>
          <w:rFonts w:ascii="宋体" w:hAnsi="宋体" w:eastAsia="宋体"/>
          <w:sz w:val="24"/>
        </w:rPr>
        <w:t xml:space="preserve"> </w:t>
      </w:r>
      <w:r>
        <w:rPr>
          <w:rFonts w:hint="eastAsia" w:ascii="宋体" w:hAnsi="宋体"/>
          <w:sz w:val="24"/>
          <w:lang w:val="en-US" w:eastAsia="zh-CN"/>
        </w:rPr>
        <w:t xml:space="preserve"> 10</w:t>
      </w:r>
      <w:r>
        <w:rPr>
          <w:rFonts w:ascii="宋体" w:hAnsi="宋体" w:eastAsia="宋体"/>
          <w:sz w:val="24"/>
        </w:rPr>
        <w:t>.每年度服务结束后应提交年度服务报告，包括维修情况、服务总结、设备运行情况分析、设备存在问题及建议等。</w:t>
      </w:r>
    </w:p>
    <w:p>
      <w:pPr>
        <w:pStyle w:val="10"/>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pPr>
        <w:pStyle w:val="10"/>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本合同分四期付款，第一期款在乙方修复现有故障后，甲方收到结算资料审核确认无误后，于5个工作日内开始办理支付手续，向乙方支付</w:t>
      </w:r>
      <w:r>
        <w:rPr>
          <w:rFonts w:hint="eastAsia" w:asciiTheme="minorEastAsia" w:hAnsiTheme="minorEastAsia" w:eastAsiaTheme="minorEastAsia" w:cstheme="minorEastAsia"/>
          <w:sz w:val="24"/>
          <w:szCs w:val="24"/>
        </w:rPr>
        <w:t>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val="en-US" w:eastAsia="zh-CN"/>
        </w:rPr>
        <w:t>第二期款在合同期满一年，甲方收到结算资料审核确认无误后，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第三期款在合同期满两年，甲方收到结算资料审核确认无误后，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第四期款在合同期结束后甲方收到结算资料审核确认无误后，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%】款人民币******元整(¥******元)。</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pPr>
        <w:pStyle w:val="10"/>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28"/>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28"/>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bookmarkStart w:id="14" w:name="_GoBack"/>
      <w:bookmarkEnd w:id="14"/>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pStyle w:val="28"/>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采购项目名称：</w:t>
      </w:r>
      <w:r>
        <w:rPr>
          <w:rFonts w:hint="eastAsia" w:ascii="宋体" w:hAnsi="宋体" w:cs="宋体"/>
          <w:b/>
          <w:sz w:val="28"/>
          <w:szCs w:val="28"/>
          <w:u w:val="thick"/>
          <w:lang w:val="en-US" w:eastAsia="zh-CN"/>
        </w:rPr>
        <w:t>广州市妇女儿童医疗中心显微镜成像系统保修</w:t>
      </w:r>
      <w:r>
        <w:rPr>
          <w:rFonts w:hint="eastAsia" w:ascii="宋体" w:hAnsi="宋体" w:cs="宋体"/>
          <w:b/>
          <w:sz w:val="28"/>
          <w:szCs w:val="28"/>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ascii="宋体" w:hAnsi="宋体" w:cs="宋体"/>
          <w:b/>
          <w:sz w:val="28"/>
          <w:szCs w:val="28"/>
        </w:rPr>
      </w:pPr>
      <w:r>
        <w:rPr>
          <w:rFonts w:hint="eastAsia" w:ascii="宋体" w:hAnsi="宋体" w:cs="宋体"/>
          <w:b/>
          <w:sz w:val="28"/>
          <w:szCs w:val="28"/>
        </w:rPr>
        <w:br w:type="page"/>
      </w: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一、资格性自查表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显微镜成像系统保修</w:t>
      </w:r>
      <w:r>
        <w:rPr>
          <w:rFonts w:hint="eastAsia" w:ascii="宋体" w:hAnsi="宋体" w:cs="宋体"/>
          <w:sz w:val="24"/>
          <w:szCs w:val="24"/>
        </w:rPr>
        <w:t>服务</w:t>
      </w:r>
    </w:p>
    <w:tbl>
      <w:tblPr>
        <w:tblStyle w:val="19"/>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pPr>
              <w:rPr>
                <w:rFonts w:asciiTheme="minorEastAsia" w:hAnsiTheme="minorEastAsia"/>
                <w:sz w:val="18"/>
                <w:szCs w:val="18"/>
              </w:rPr>
            </w:pPr>
            <w:r>
              <w:rPr>
                <w:rFonts w:hint="eastAsia" w:asciiTheme="minorEastAsia" w:hAnsiTheme="minorEastAsia"/>
                <w:sz w:val="18"/>
                <w:szCs w:val="18"/>
              </w:rPr>
              <w:t>① 20</w:t>
            </w:r>
            <w:r>
              <w:rPr>
                <w:rFonts w:hint="eastAsia" w:asciiTheme="minorEastAsia" w:hAnsiTheme="minorEastAsia"/>
                <w:sz w:val="18"/>
                <w:szCs w:val="18"/>
                <w:lang w:val="en-US" w:eastAsia="zh-CN"/>
              </w:rPr>
              <w:t>22</w:t>
            </w:r>
            <w:r>
              <w:rPr>
                <w:rFonts w:hint="eastAsia" w:asciiTheme="minorEastAsia" w:hAnsiTheme="minorEastAsia"/>
                <w:sz w:val="18"/>
                <w:szCs w:val="18"/>
              </w:rPr>
              <w:t>年度经审核的含财务报表的财务（状况）报告（适用于在上一年度前成立的法人或其他组织，年度由连续12个历月构成，从1月1日起至12月31日止）；</w:t>
            </w:r>
          </w:p>
          <w:p>
            <w:pPr>
              <w:rPr>
                <w:rFonts w:asciiTheme="minorEastAsia" w:hAnsiTheme="minorEastAsia"/>
                <w:sz w:val="18"/>
                <w:szCs w:val="18"/>
              </w:rPr>
            </w:pPr>
            <w:r>
              <w:rPr>
                <w:rFonts w:hint="eastAsia" w:asciiTheme="minorEastAsia" w:hAnsiTheme="minorEastAsia"/>
                <w:sz w:val="18"/>
                <w:szCs w:val="18"/>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rPr>
        <w:t>二、符合性自查表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显微镜成像系统保修</w:t>
      </w:r>
      <w:r>
        <w:rPr>
          <w:rFonts w:hint="eastAsia" w:ascii="宋体" w:hAnsi="宋体" w:cs="宋体"/>
          <w:sz w:val="24"/>
          <w:szCs w:val="24"/>
        </w:rPr>
        <w:t xml:space="preserve">服务 </w:t>
      </w:r>
    </w:p>
    <w:tbl>
      <w:tblPr>
        <w:tblStyle w:val="19"/>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报价表</w:t>
      </w:r>
    </w:p>
    <w:p>
      <w:pPr>
        <w:tabs>
          <w:tab w:val="left" w:pos="7740"/>
        </w:tabs>
        <w:snapToGrid w:val="0"/>
        <w:spacing w:line="360" w:lineRule="auto"/>
        <w:rPr>
          <w:rFonts w:ascii="宋体" w:hAnsi="宋体"/>
          <w:sz w:val="24"/>
        </w:rPr>
      </w:pPr>
      <w:r>
        <w:rPr>
          <w:rFonts w:hint="eastAsia" w:ascii="宋体" w:hAnsi="宋体"/>
          <w:sz w:val="24"/>
        </w:rPr>
        <w:t>项目名称：广州市妇女儿童医疗中心</w:t>
      </w:r>
      <w:r>
        <w:rPr>
          <w:rFonts w:hint="eastAsia" w:ascii="宋体" w:hAnsi="宋体" w:cs="宋体"/>
          <w:sz w:val="24"/>
          <w:szCs w:val="24"/>
          <w:lang w:val="en-US" w:eastAsia="zh-CN"/>
        </w:rPr>
        <w:t>显微镜成像系统保修</w:t>
      </w:r>
      <w:r>
        <w:rPr>
          <w:rFonts w:hint="eastAsia" w:ascii="宋体" w:hAnsi="宋体" w:cs="宋体"/>
          <w:sz w:val="24"/>
          <w:szCs w:val="24"/>
        </w:rPr>
        <w:t>服务</w:t>
      </w:r>
      <w:r>
        <w:rPr>
          <w:rFonts w:hint="eastAsia" w:ascii="宋体" w:hAnsi="宋体"/>
          <w:sz w:val="24"/>
        </w:rPr>
        <w:t>项目</w:t>
      </w:r>
    </w:p>
    <w:tbl>
      <w:tblPr>
        <w:tblStyle w:val="19"/>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cs="宋体"/>
                <w:sz w:val="24"/>
                <w:szCs w:val="24"/>
                <w:lang w:val="en-US" w:eastAsia="zh-CN"/>
              </w:rPr>
              <w:t>显微镜成像系统保修</w:t>
            </w:r>
            <w:r>
              <w:rPr>
                <w:rFonts w:hint="eastAsia" w:ascii="宋体" w:hAnsi="宋体" w:cs="宋体"/>
                <w:sz w:val="24"/>
                <w:szCs w:val="24"/>
              </w:rPr>
              <w:t>服务</w:t>
            </w:r>
          </w:p>
        </w:tc>
        <w:tc>
          <w:tcPr>
            <w:tcW w:w="618" w:type="pct"/>
            <w:tcBorders>
              <w:top w:val="double" w:color="auto" w:sz="4" w:space="0"/>
              <w:bottom w:val="single" w:color="auto" w:sz="6" w:space="0"/>
            </w:tcBorders>
            <w:vAlign w:val="center"/>
          </w:tcPr>
          <w:p>
            <w:pPr>
              <w:snapToGrid w:val="0"/>
              <w:jc w:val="center"/>
              <w:rPr>
                <w:rFonts w:ascii="宋体"/>
                <w:bCs/>
                <w:sz w:val="24"/>
              </w:rPr>
            </w:pPr>
            <w:r>
              <w:rPr>
                <w:rFonts w:hint="eastAsia" w:ascii="宋体"/>
                <w:bCs/>
                <w:sz w:val="24"/>
              </w:rPr>
              <w:t>1套</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28"/>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28"/>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28"/>
        <w:numPr>
          <w:ilvl w:val="0"/>
          <w:numId w:val="6"/>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275865606"/>
      <w:bookmarkStart w:id="11" w:name="_Toc435514855"/>
      <w:bookmarkStart w:id="12" w:name="_Toc435515295"/>
      <w:r>
        <w:rPr>
          <w:rFonts w:hint="eastAsia" w:ascii="黑体" w:hAnsi="黑体" w:eastAsia="黑体"/>
          <w:sz w:val="32"/>
          <w:szCs w:val="32"/>
          <w:lang w:val="en-US" w:eastAsia="zh-CN"/>
        </w:rPr>
        <w:t>四、服务供应商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广州市妇女儿童医疗中心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关于贵公司</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日发布</w:t>
      </w:r>
      <w:r>
        <w:rPr>
          <w:rFonts w:hint="eastAsia" w:ascii="宋体" w:hAnsi="宋体"/>
          <w:sz w:val="21"/>
          <w:szCs w:val="21"/>
          <w:u w:val="single"/>
        </w:rPr>
        <w:t xml:space="preserve">  广州市妇女儿童医疗中心</w:t>
      </w:r>
      <w:r>
        <w:rPr>
          <w:rFonts w:hint="eastAsia" w:ascii="宋体" w:hAnsi="宋体" w:cs="宋体"/>
          <w:sz w:val="21"/>
          <w:szCs w:val="21"/>
          <w:u w:val="single"/>
          <w:lang w:val="en-US" w:eastAsia="zh-CN"/>
        </w:rPr>
        <w:t>显微镜成像系统</w:t>
      </w:r>
      <w:r>
        <w:rPr>
          <w:rFonts w:hint="eastAsia" w:ascii="宋体" w:hAnsi="宋体" w:eastAsia="宋体" w:cs="宋体"/>
          <w:sz w:val="21"/>
          <w:szCs w:val="21"/>
          <w:u w:val="single"/>
          <w:lang w:val="en-US" w:eastAsia="zh-CN"/>
        </w:rPr>
        <w:t>保修</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28"/>
        <w:numPr>
          <w:ilvl w:val="0"/>
          <w:numId w:val="7"/>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28"/>
        <w:widowControl/>
        <w:numPr>
          <w:ilvl w:val="0"/>
          <w:numId w:val="8"/>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28"/>
        <w:widowControl/>
        <w:numPr>
          <w:ilvl w:val="0"/>
          <w:numId w:val="8"/>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28"/>
        <w:widowControl/>
        <w:numPr>
          <w:ilvl w:val="0"/>
          <w:numId w:val="8"/>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28"/>
        <w:numPr>
          <w:ilvl w:val="0"/>
          <w:numId w:val="7"/>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28"/>
        <w:numPr>
          <w:ilvl w:val="0"/>
          <w:numId w:val="7"/>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28"/>
        <w:numPr>
          <w:ilvl w:val="0"/>
          <w:numId w:val="9"/>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28"/>
        <w:numPr>
          <w:ilvl w:val="0"/>
          <w:numId w:val="9"/>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10"/>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五、采购需求条款响应一览表</w:t>
      </w:r>
    </w:p>
    <w:p>
      <w:pPr>
        <w:spacing w:line="400" w:lineRule="exact"/>
        <w:rPr>
          <w:rFonts w:ascii="宋体" w:hAnsi="宋体"/>
          <w:sz w:val="24"/>
        </w:rPr>
      </w:pPr>
      <w:r>
        <w:rPr>
          <w:rFonts w:hint="eastAsia" w:ascii="宋体" w:hAnsi="宋体"/>
          <w:sz w:val="24"/>
        </w:rPr>
        <w:t>说明：</w:t>
      </w:r>
    </w:p>
    <w:p>
      <w:pPr>
        <w:pStyle w:val="28"/>
        <w:numPr>
          <w:ilvl w:val="0"/>
          <w:numId w:val="10"/>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28"/>
        <w:numPr>
          <w:ilvl w:val="0"/>
          <w:numId w:val="10"/>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28"/>
        <w:numPr>
          <w:ilvl w:val="0"/>
          <w:numId w:val="10"/>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28"/>
        <w:numPr>
          <w:ilvl w:val="0"/>
          <w:numId w:val="10"/>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widowControl/>
        <w:snapToGrid w:val="0"/>
        <w:spacing w:line="360" w:lineRule="auto"/>
        <w:jc w:val="left"/>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hAnsi="宋体"/>
          <w:sz w:val="24"/>
          <w:lang w:val="en-US" w:eastAsia="zh-CN"/>
        </w:rPr>
        <w:t>显微镜成像系统保修服务</w:t>
      </w:r>
      <w:r>
        <w:rPr>
          <w:rFonts w:hint="eastAsia" w:ascii="宋体" w:hAnsi="宋体"/>
          <w:sz w:val="24"/>
        </w:rPr>
        <w:t>项目</w:t>
      </w:r>
    </w:p>
    <w:tbl>
      <w:tblPr>
        <w:tblStyle w:val="19"/>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646" w:type="dxa"/>
            <w:vAlign w:val="center"/>
          </w:tcPr>
          <w:p>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pPr>
              <w:spacing w:line="400" w:lineRule="exact"/>
              <w:rPr>
                <w:rFonts w:ascii="宋体" w:hAnsi="宋体"/>
                <w:sz w:val="18"/>
                <w:szCs w:val="18"/>
              </w:rPr>
            </w:pPr>
            <w:r>
              <w:rPr>
                <w:rFonts w:hint="eastAsia"/>
                <w:sz w:val="18"/>
                <w:szCs w:val="18"/>
                <w:lang w:val="en-US" w:eastAsia="zh-CN"/>
              </w:rPr>
              <w:t>服务供应商具备专业服务团队。拥有至少2名具备原厂培训资质的工程师。为保证工程师的及时到达现场并提供有效的维修服务，服务供应商至少指定1名工程师负责本项目，同时提供2位原厂工程师进行相应的技术支持。（遴选文件中提供工程师名单、原厂工程师培训证书）</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46" w:type="dxa"/>
            <w:vAlign w:val="center"/>
          </w:tcPr>
          <w:p>
            <w:pPr>
              <w:numPr>
                <w:ilvl w:val="0"/>
                <w:numId w:val="0"/>
              </w:numPr>
              <w:adjustRightInd w:val="0"/>
              <w:spacing w:line="360" w:lineRule="atLeast"/>
              <w:ind w:left="180" w:leftChars="0"/>
              <w:jc w:val="both"/>
              <w:textAlignment w:val="baseline"/>
              <w:rPr>
                <w:rFonts w:hint="eastAsia" w:ascii="宋体" w:hAnsi="宋体" w:eastAsia="宋体"/>
                <w:sz w:val="24"/>
                <w:lang w:val="en-US" w:eastAsia="zh-CN"/>
              </w:rPr>
            </w:pPr>
            <w:r>
              <w:rPr>
                <w:rFonts w:hint="eastAsia" w:ascii="Times New Roman" w:hAnsi="Times New Roman" w:cs="Times New Roman"/>
                <w:sz w:val="20"/>
                <w:szCs w:val="20"/>
                <w:lang w:val="en-US" w:eastAsia="zh-CN"/>
              </w:rPr>
              <w:t>2</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提供24小时400或800免费维修服务热线，产品技术专家提供在线技术咨询和维修诊断</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eastAsia="宋体"/>
                <w:sz w:val="22"/>
                <w:szCs w:val="22"/>
                <w:lang w:val="en-US" w:eastAsia="zh-CN"/>
              </w:rPr>
              <w:t>3</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设备发生故障时，初次响应时间：2小时，并提供电话技术支持。现场响应时间：第二个工作日内到达设备使用现场进行故障排查及维修</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eastAsia="宋体"/>
                <w:sz w:val="24"/>
                <w:lang w:val="en-US" w:eastAsia="zh-CN"/>
              </w:rPr>
              <w:t>4</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工程师一年应至少免费上门2次对仪器进行检查和校准，并出具检查和校准报告</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提供无限次上门维修服务，含维修人员的工时费、差旅费（相关费用由服务供应商自行承担）</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4303" w:type="dxa"/>
            <w:vAlign w:val="center"/>
          </w:tcPr>
          <w:p>
            <w:pPr>
              <w:spacing w:line="400" w:lineRule="exact"/>
              <w:rPr>
                <w:rFonts w:hint="eastAsia" w:ascii="Times New Roman" w:hAnsi="Times New Roman" w:cs="Times New Roman"/>
                <w:sz w:val="18"/>
                <w:szCs w:val="18"/>
              </w:rPr>
            </w:pPr>
            <w:r>
              <w:rPr>
                <w:rFonts w:ascii="宋体" w:hAnsi="宋体" w:eastAsia="宋体"/>
                <w:sz w:val="24"/>
              </w:rPr>
              <w:t>在</w:t>
            </w:r>
            <w:r>
              <w:rPr>
                <w:rFonts w:hint="eastAsia"/>
                <w:sz w:val="18"/>
                <w:szCs w:val="18"/>
                <w:lang w:val="en-US" w:eastAsia="zh-CN"/>
              </w:rPr>
              <w:t>合同期内因故障而需更换的备件（包含：405nm、552nm、638nm、488nm激光器，物镜、目镜，主板，检测板，检测器，Pinhole，连接板，光纤耦合器，AOBS控制器，AOBS晶体，电源板，聚光器，物镜转盘等），不受数量限制。保证在≤48小时提供备件的能力，合同期内设备发生的维修备件一般情况下24小时到达医院，最长不超过7个工作日</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维修所采用的全部备件，均可出示原厂检测合格证书以及中国海关总署出示的合法进口货物报关单；其中的激光器属于关键备件；所有备件可通过原厂400或800热线进行的备件信息查询</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保证所保设备全年工作日的开机率≥95%，按照一年365天计算, 未达到的天数，按1:2比例顺延保修期时间</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合同期内，免费提供设备的改良性软件系统升级（非功能性软件升级）</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4303" w:type="dxa"/>
            <w:vAlign w:val="center"/>
          </w:tcPr>
          <w:p>
            <w:pPr>
              <w:spacing w:line="400" w:lineRule="exact"/>
              <w:rPr>
                <w:rFonts w:hint="eastAsia"/>
                <w:sz w:val="18"/>
                <w:szCs w:val="18"/>
                <w:lang w:val="en-US" w:eastAsia="zh-CN"/>
              </w:rPr>
            </w:pPr>
            <w:r>
              <w:rPr>
                <w:rFonts w:hint="eastAsia"/>
                <w:sz w:val="18"/>
                <w:szCs w:val="18"/>
                <w:lang w:val="en-US" w:eastAsia="zh-CN"/>
              </w:rPr>
              <w:t>每年度服务结束后应提交年度服务报告，包括维修情况、服务总结、设备运行情况分析、设备存在问题及建议等</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rPr>
          <w:rFonts w:hint="eastAsia"/>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lang w:val="en-US" w:eastAsia="zh-CN"/>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承诺函</w:t>
      </w:r>
    </w:p>
    <w:p>
      <w:pPr>
        <w:spacing w:line="480" w:lineRule="auto"/>
        <w:rPr>
          <w:b/>
          <w:sz w:val="24"/>
        </w:rPr>
      </w:pPr>
      <w:r>
        <w:rPr>
          <w:rFonts w:hint="eastAsia"/>
          <w:b/>
          <w:sz w:val="24"/>
        </w:rPr>
        <w:t>广州市妇女儿童医疗中心：</w:t>
      </w:r>
    </w:p>
    <w:p>
      <w:pPr>
        <w:snapToGrid w:val="0"/>
        <w:spacing w:before="156" w:beforeLines="50" w:line="480" w:lineRule="auto"/>
        <w:ind w:firstLine="600" w:firstLineChars="250"/>
        <w:rPr>
          <w:rFonts w:ascii="宋体" w:hAnsi="宋体"/>
          <w:sz w:val="24"/>
        </w:rPr>
      </w:pPr>
      <w:r>
        <w:rPr>
          <w:rFonts w:hint="eastAsia" w:ascii="宋体" w:hAnsi="宋体"/>
          <w:sz w:val="24"/>
        </w:rPr>
        <w:t>关于贵公司_____________年_____________月_____________日发布</w:t>
      </w:r>
      <w:r>
        <w:rPr>
          <w:rFonts w:hint="eastAsia" w:ascii="宋体" w:hAnsi="宋体"/>
          <w:sz w:val="24"/>
          <w:u w:val="single"/>
        </w:rPr>
        <w:t>广州市妇女儿童医疗中心</w:t>
      </w:r>
      <w:r>
        <w:rPr>
          <w:rFonts w:hint="eastAsia" w:ascii="宋体" w:hAnsi="宋体"/>
          <w:sz w:val="24"/>
          <w:u w:val="single"/>
          <w:lang w:val="en-US" w:eastAsia="zh-CN"/>
        </w:rPr>
        <w:t>显微镜成像系统保修服务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int="eastAsia" w:hAnsi="宋体"/>
          <w:b/>
          <w:sz w:val="24"/>
          <w:lang w:val="en-US" w:eastAsia="zh-CN"/>
        </w:rPr>
      </w:pPr>
    </w:p>
    <w:p>
      <w:pPr>
        <w:pStyle w:val="10"/>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10"/>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甲方：广州市妇女儿童医疗中心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Style w:val="25"/>
        <w:spacing w:line="360" w:lineRule="auto"/>
      </w:pP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p>
    <w:p>
      <w:pPr>
        <w:spacing w:line="360" w:lineRule="auto"/>
      </w:pPr>
      <w:r>
        <w:rPr>
          <w:rFonts w:hint="eastAsia"/>
        </w:rPr>
        <w:t xml:space="preserve">    八、本合同作为医药产品购销合同的重要组成部分，与购销合同一并执行，具有同等的法律效力。</w:t>
      </w:r>
    </w:p>
    <w:p>
      <w:pPr>
        <w:spacing w:line="360" w:lineRule="auto"/>
      </w:pPr>
    </w:p>
    <w:p>
      <w:pPr>
        <w:spacing w:line="360" w:lineRule="auto"/>
      </w:pPr>
      <w:r>
        <w:rPr>
          <w:rFonts w:hint="eastAsia"/>
        </w:rPr>
        <w:t>　　九、本合同一式三份，甲、乙双方各执一份，甲方纪检监察部门执一份，并从签订之日起生效。</w:t>
      </w:r>
    </w:p>
    <w:p>
      <w:pPr>
        <w:spacing w:line="360" w:lineRule="auto"/>
      </w:pP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202</w:t>
      </w:r>
      <w:r>
        <w:rPr>
          <w:rFonts w:hint="eastAsia" w:ascii="宋体" w:hAnsi="宋体"/>
          <w:b/>
          <w:sz w:val="24"/>
          <w:highlight w:val="yellow"/>
          <w:u w:val="single"/>
          <w:lang w:val="en-US" w:eastAsia="zh-CN"/>
        </w:rPr>
        <w:t>3</w:t>
      </w:r>
      <w:r>
        <w:rPr>
          <w:rFonts w:hint="eastAsia" w:ascii="宋体" w:hAnsi="宋体"/>
          <w:b/>
          <w:sz w:val="24"/>
          <w:highlight w:val="yellow"/>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广州市妇女儿童医疗中心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type w:val="nextColumn"/>
          <w:pgSz w:w="11906" w:h="16838"/>
          <w:pgMar w:top="851" w:right="1134" w:bottom="709" w:left="1134" w:header="851" w:footer="992" w:gutter="0"/>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甲方（需方）：广州市妇女儿童医疗中心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2"/>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日广州市妇女儿童医疗中心组织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2"/>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2"/>
        <w:numPr>
          <w:ilvl w:val="0"/>
          <w:numId w:val="11"/>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1"/>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2"/>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2"/>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3"/>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3"/>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现场响应：当设备发生故障时，乙方接到甲方报修通知后迅速派遣专业技术人员前往维修，交通便利的情况下保证【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2"/>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autoSpaceDE w:val="0"/>
        <w:spacing w:line="360" w:lineRule="auto"/>
        <w:ind w:firstLine="400" w:firstLineChars="200"/>
        <w:rPr>
          <w:rFonts w:hint="eastAsia" w:ascii="宋体" w:hAnsi="宋体"/>
        </w:rPr>
      </w:pPr>
      <w:r>
        <w:rPr>
          <w:rFonts w:hint="eastAsia" w:ascii="宋体" w:hAnsi="宋体"/>
        </w:rPr>
        <w:t>本合同</w:t>
      </w:r>
      <w:r>
        <w:rPr>
          <w:rFonts w:hint="eastAsia" w:ascii="宋体" w:hAnsi="宋体"/>
          <w:lang w:val="en-US" w:eastAsia="zh-CN"/>
        </w:rPr>
        <w:t>服务</w:t>
      </w:r>
      <w:r>
        <w:rPr>
          <w:rFonts w:hint="eastAsia" w:ascii="宋体" w:hAnsi="宋体"/>
        </w:rPr>
        <w:t>设备</w:t>
      </w:r>
      <w:r>
        <w:rPr>
          <w:rFonts w:hint="eastAsia" w:ascii="宋体" w:hAnsi="宋体"/>
          <w:lang w:eastAsia="zh-CN"/>
        </w:rPr>
        <w:t>：</w:t>
      </w:r>
      <w:r>
        <w:rPr>
          <w:rFonts w:hint="eastAsia" w:ascii="宋体" w:hAnsi="宋体"/>
          <w:lang w:val="en-US" w:eastAsia="zh-CN"/>
        </w:rPr>
        <w:t>显微镜成像系统</w:t>
      </w:r>
      <w:r>
        <w:rPr>
          <w:rFonts w:hint="eastAsia" w:ascii="宋体" w:hAnsi="宋体"/>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5"/>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2"/>
        <w:numPr>
          <w:ilvl w:val="0"/>
          <w:numId w:val="16"/>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7"/>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2"/>
        <w:numPr>
          <w:ilvl w:val="0"/>
          <w:numId w:val="17"/>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7"/>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2"/>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2"/>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2"/>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w:t>
      </w:r>
      <w:r>
        <w:rPr>
          <w:rFonts w:hint="eastAsia" w:ascii="宋体" w:hAnsi="宋体"/>
          <w:color w:val="000000"/>
          <w:u w:val="single"/>
          <w:lang w:val="en-US" w:eastAsia="zh-CN"/>
        </w:rPr>
        <w:t>陆</w:t>
      </w:r>
      <w:r>
        <w:rPr>
          <w:rFonts w:hint="eastAsia" w:ascii="宋体" w:hAnsi="宋体"/>
          <w:color w:val="000000"/>
          <w:u w:val="single"/>
        </w:rPr>
        <w:t xml:space="preserve">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2"/>
        <w:rPr>
          <w:rFonts w:hint="eastAsia" w:ascii="宋体" w:hAnsi="宋体"/>
        </w:rPr>
      </w:pPr>
      <w:r>
        <w:rPr>
          <w:rFonts w:hint="eastAsia" w:ascii="宋体" w:hAnsi="宋体"/>
        </w:rPr>
        <w:t xml:space="preserve"> </w:t>
      </w:r>
    </w:p>
    <w:p>
      <w:pPr>
        <w:widowControl/>
        <w:spacing w:line="360" w:lineRule="auto"/>
        <w:jc w:val="left"/>
        <w:rPr>
          <w:rFonts w:hint="eastAsia" w:ascii="宋体" w:hAnsi="宋体"/>
          <w:sz w:val="24"/>
        </w:rPr>
      </w:pPr>
      <w:r>
        <w:rPr>
          <w:rFonts w:hint="eastAsia" w:ascii="宋体" w:hAnsi="宋体"/>
          <w:sz w:val="24"/>
        </w:rPr>
        <w:t xml:space="preserve"> </w:t>
      </w:r>
    </w:p>
    <w:p>
      <w:pPr>
        <w:pStyle w:val="2"/>
        <w:rPr>
          <w:rFonts w:hint="eastAsia"/>
          <w:sz w:val="21"/>
          <w:szCs w:val="21"/>
        </w:rPr>
      </w:pP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甲方：广州市妇女儿童医疗中心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lang w:val="en-US" w:eastAsia="zh-CN"/>
        </w:rPr>
        <w:t>周文浩</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sz w:val="32"/>
          <w:szCs w:val="32"/>
        </w:rPr>
      </w:pPr>
      <w:r>
        <w:br w:type="page"/>
      </w:r>
      <w:r>
        <w:rPr>
          <w:rFonts w:hint="eastAsia" w:ascii="宋体" w:hAnsi="宋体"/>
          <w:b/>
          <w:bCs/>
          <w:sz w:val="32"/>
          <w:szCs w:val="32"/>
          <w:highlight w:val="yellow"/>
        </w:rPr>
        <w:t>附件：保修内容（详细）</w:t>
      </w:r>
    </w:p>
    <w:p>
      <w:pPr>
        <w:spacing w:line="360" w:lineRule="auto"/>
        <w:rPr>
          <w:rFonts w:hint="eastAsia"/>
          <w:sz w:val="21"/>
          <w:szCs w:val="21"/>
        </w:rPr>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2"/>
        <w:rPr>
          <w:rFonts w:hint="eastAsia" w:ascii="宋体" w:hAnsi="宋体"/>
          <w:color w:val="000000"/>
          <w:highlight w:val="yellow"/>
        </w:rPr>
      </w:pPr>
      <w:r>
        <w:rPr>
          <w:rFonts w:hint="eastAsia" w:ascii="宋体" w:hAnsi="宋体"/>
          <w:color w:val="000000"/>
          <w:highlight w:val="yellow"/>
        </w:rPr>
        <w:t>（1）</w:t>
      </w:r>
    </w:p>
    <w:p>
      <w:pPr>
        <w:pStyle w:val="2"/>
        <w:rPr>
          <w:rFonts w:hint="eastAsia" w:ascii="宋体" w:hAnsi="宋体"/>
          <w:color w:val="000000"/>
          <w:highlight w:val="yellow"/>
        </w:rPr>
      </w:pPr>
      <w:r>
        <w:rPr>
          <w:rFonts w:hint="eastAsia" w:ascii="宋体" w:hAnsi="宋体"/>
          <w:color w:val="000000"/>
          <w:highlight w:val="yellow"/>
        </w:rPr>
        <w:t>（2）</w:t>
      </w:r>
    </w:p>
    <w:p>
      <w:pPr>
        <w:pStyle w:val="2"/>
        <w:rPr>
          <w:rFonts w:hint="eastAsia" w:ascii="宋体" w:hAnsi="宋体"/>
          <w:color w:val="000000"/>
          <w:highlight w:val="yellow"/>
        </w:rPr>
      </w:pPr>
      <w:r>
        <w:rPr>
          <w:rFonts w:hint="eastAsia" w:ascii="宋体" w:hAnsi="宋体"/>
          <w:color w:val="000000"/>
          <w:highlight w:val="yellow"/>
        </w:rPr>
        <w:t>（3）</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8"/>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2"/>
        <w:snapToGrid w:val="0"/>
        <w:spacing w:line="520" w:lineRule="exact"/>
        <w:rPr>
          <w:sz w:val="24"/>
        </w:rPr>
      </w:pPr>
    </w:p>
    <w:p>
      <w:pPr>
        <w:snapToGrid w:val="0"/>
        <w:spacing w:line="520" w:lineRule="exact"/>
      </w:pPr>
    </w:p>
    <w:sectPr>
      <w:headerReference r:id="rId5" w:type="default"/>
      <w:type w:val="nextColumn"/>
      <w:pgSz w:w="11906" w:h="16838"/>
      <w:pgMar w:top="1440" w:right="1080" w:bottom="1440" w:left="108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color w:val="000000"/>
      </w:rPr>
    </w:pPr>
    <w:r>
      <w:fldChar w:fldCharType="begin"/>
    </w:r>
    <w:r>
      <w:instrText xml:space="preserve"> INCLUDEPICTURE "C:\\Users\\Administrator\\Documents\\WXWork\\1688851436297534\\Cache\\Image\\2021-05\\企业微信截图_16220096521360.png" \* MERGEFORMATINET </w:instrTex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4C2248D"/>
    <w:multiLevelType w:val="multilevel"/>
    <w:tmpl w:val="64C2248D"/>
    <w:lvl w:ilvl="0" w:tentative="0">
      <w:start w:val="3"/>
      <w:numFmt w:val="decimal"/>
      <w:pStyle w:val="5"/>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3"/>
  </w:num>
  <w:num w:numId="3">
    <w:abstractNumId w:val="0"/>
  </w:num>
  <w:num w:numId="4">
    <w:abstractNumId w:val="5"/>
  </w:num>
  <w:num w:numId="5">
    <w:abstractNumId w:val="17"/>
  </w:num>
  <w:num w:numId="6">
    <w:abstractNumId w:val="10"/>
  </w:num>
  <w:num w:numId="7">
    <w:abstractNumId w:val="11"/>
  </w:num>
  <w:num w:numId="8">
    <w:abstractNumId w:val="4"/>
  </w:num>
  <w:num w:numId="9">
    <w:abstractNumId w:val="1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mRlMzQ1ZmZiZWNlOTU0NmZjZDJlNjU1NjhmZTcifQ=="/>
  </w:docVars>
  <w:rsids>
    <w:rsidRoot w:val="00B821E9"/>
    <w:rsid w:val="00004575"/>
    <w:rsid w:val="00027CEA"/>
    <w:rsid w:val="00031409"/>
    <w:rsid w:val="00043181"/>
    <w:rsid w:val="00061333"/>
    <w:rsid w:val="000B0A59"/>
    <w:rsid w:val="000B2AB2"/>
    <w:rsid w:val="00197D5B"/>
    <w:rsid w:val="001E5198"/>
    <w:rsid w:val="002253F6"/>
    <w:rsid w:val="00236ED3"/>
    <w:rsid w:val="002560AA"/>
    <w:rsid w:val="0035416A"/>
    <w:rsid w:val="004F15BB"/>
    <w:rsid w:val="00615006"/>
    <w:rsid w:val="00626CB7"/>
    <w:rsid w:val="006737F2"/>
    <w:rsid w:val="007C400D"/>
    <w:rsid w:val="007E2A65"/>
    <w:rsid w:val="0084521D"/>
    <w:rsid w:val="008B13DC"/>
    <w:rsid w:val="008F6DBE"/>
    <w:rsid w:val="00905434"/>
    <w:rsid w:val="009478B5"/>
    <w:rsid w:val="00972BF8"/>
    <w:rsid w:val="009D0C23"/>
    <w:rsid w:val="00B821E9"/>
    <w:rsid w:val="00B9272B"/>
    <w:rsid w:val="00C9328A"/>
    <w:rsid w:val="00CD1220"/>
    <w:rsid w:val="00E355F0"/>
    <w:rsid w:val="00E606C7"/>
    <w:rsid w:val="00E61FF7"/>
    <w:rsid w:val="00EA511D"/>
    <w:rsid w:val="00EB5A4B"/>
    <w:rsid w:val="00ED5C10"/>
    <w:rsid w:val="00FB14E9"/>
    <w:rsid w:val="00FF202F"/>
    <w:rsid w:val="02B11911"/>
    <w:rsid w:val="02FD2D69"/>
    <w:rsid w:val="03657FE5"/>
    <w:rsid w:val="03D75FB2"/>
    <w:rsid w:val="04B20D12"/>
    <w:rsid w:val="061340E1"/>
    <w:rsid w:val="06FC4A35"/>
    <w:rsid w:val="07F95EEE"/>
    <w:rsid w:val="08781D15"/>
    <w:rsid w:val="09750C0F"/>
    <w:rsid w:val="0A0655BF"/>
    <w:rsid w:val="0B293A5F"/>
    <w:rsid w:val="0C0E3639"/>
    <w:rsid w:val="0CE860B9"/>
    <w:rsid w:val="0E01555D"/>
    <w:rsid w:val="0F882267"/>
    <w:rsid w:val="0FE4089C"/>
    <w:rsid w:val="11373C89"/>
    <w:rsid w:val="118063A3"/>
    <w:rsid w:val="13547033"/>
    <w:rsid w:val="13A61385"/>
    <w:rsid w:val="14DA2EAA"/>
    <w:rsid w:val="14FE41AE"/>
    <w:rsid w:val="15066EA9"/>
    <w:rsid w:val="152C3935"/>
    <w:rsid w:val="166E7112"/>
    <w:rsid w:val="17190E2C"/>
    <w:rsid w:val="17FE514D"/>
    <w:rsid w:val="18506E75"/>
    <w:rsid w:val="19185113"/>
    <w:rsid w:val="1A4E34E2"/>
    <w:rsid w:val="1A590ACC"/>
    <w:rsid w:val="1A862E14"/>
    <w:rsid w:val="1A961F7B"/>
    <w:rsid w:val="1AE975F4"/>
    <w:rsid w:val="1B4005FD"/>
    <w:rsid w:val="1BCE01A3"/>
    <w:rsid w:val="1CF00880"/>
    <w:rsid w:val="1DBC0793"/>
    <w:rsid w:val="1DD31FB1"/>
    <w:rsid w:val="1E705177"/>
    <w:rsid w:val="1F3B424C"/>
    <w:rsid w:val="1F935DBE"/>
    <w:rsid w:val="203171E6"/>
    <w:rsid w:val="20D12777"/>
    <w:rsid w:val="21B43FCC"/>
    <w:rsid w:val="221C28C5"/>
    <w:rsid w:val="228E42A7"/>
    <w:rsid w:val="237A636E"/>
    <w:rsid w:val="23C40371"/>
    <w:rsid w:val="24114C03"/>
    <w:rsid w:val="241A4CD9"/>
    <w:rsid w:val="24F46A34"/>
    <w:rsid w:val="272A498F"/>
    <w:rsid w:val="2824565C"/>
    <w:rsid w:val="28827F31"/>
    <w:rsid w:val="289B1FE8"/>
    <w:rsid w:val="298A3E0B"/>
    <w:rsid w:val="29CA4207"/>
    <w:rsid w:val="2AAE38A4"/>
    <w:rsid w:val="2B3C2311"/>
    <w:rsid w:val="2BEF05E0"/>
    <w:rsid w:val="2BF704EE"/>
    <w:rsid w:val="2C8F68B4"/>
    <w:rsid w:val="2DA07759"/>
    <w:rsid w:val="2DE25FC3"/>
    <w:rsid w:val="2ECE479A"/>
    <w:rsid w:val="2F923A19"/>
    <w:rsid w:val="303402D9"/>
    <w:rsid w:val="30B11C7D"/>
    <w:rsid w:val="310052FF"/>
    <w:rsid w:val="31A22271"/>
    <w:rsid w:val="31ED4F37"/>
    <w:rsid w:val="322F164C"/>
    <w:rsid w:val="32F01EAA"/>
    <w:rsid w:val="3316226B"/>
    <w:rsid w:val="332A635E"/>
    <w:rsid w:val="33EA0C12"/>
    <w:rsid w:val="342E11F5"/>
    <w:rsid w:val="34485E60"/>
    <w:rsid w:val="34735813"/>
    <w:rsid w:val="34740780"/>
    <w:rsid w:val="35213875"/>
    <w:rsid w:val="35906305"/>
    <w:rsid w:val="36260A17"/>
    <w:rsid w:val="363B33E8"/>
    <w:rsid w:val="36667482"/>
    <w:rsid w:val="385E093C"/>
    <w:rsid w:val="38BC4F4B"/>
    <w:rsid w:val="38E74C07"/>
    <w:rsid w:val="3A06290D"/>
    <w:rsid w:val="3A30545C"/>
    <w:rsid w:val="3A865F28"/>
    <w:rsid w:val="3A8B353F"/>
    <w:rsid w:val="3AAB2CC4"/>
    <w:rsid w:val="3B583D69"/>
    <w:rsid w:val="3CDF7D60"/>
    <w:rsid w:val="3CF96E86"/>
    <w:rsid w:val="3CFF77C9"/>
    <w:rsid w:val="3D7F55DD"/>
    <w:rsid w:val="3E7745BA"/>
    <w:rsid w:val="3F4E185B"/>
    <w:rsid w:val="3F7758B3"/>
    <w:rsid w:val="414F5140"/>
    <w:rsid w:val="419453CF"/>
    <w:rsid w:val="41992046"/>
    <w:rsid w:val="41A575DC"/>
    <w:rsid w:val="425E3711"/>
    <w:rsid w:val="430C23BC"/>
    <w:rsid w:val="43BB3877"/>
    <w:rsid w:val="44AB34F2"/>
    <w:rsid w:val="44AD459D"/>
    <w:rsid w:val="44B26298"/>
    <w:rsid w:val="45785186"/>
    <w:rsid w:val="45A74B4A"/>
    <w:rsid w:val="465D0485"/>
    <w:rsid w:val="48362D3C"/>
    <w:rsid w:val="484F3DFE"/>
    <w:rsid w:val="48DB6401"/>
    <w:rsid w:val="495E6623"/>
    <w:rsid w:val="496F2FCF"/>
    <w:rsid w:val="49F11610"/>
    <w:rsid w:val="4A7820C0"/>
    <w:rsid w:val="4A805CE9"/>
    <w:rsid w:val="4B1336CD"/>
    <w:rsid w:val="4B3317B5"/>
    <w:rsid w:val="4C211F55"/>
    <w:rsid w:val="4C31571C"/>
    <w:rsid w:val="4CC91343"/>
    <w:rsid w:val="4DE06320"/>
    <w:rsid w:val="4DF14620"/>
    <w:rsid w:val="4E0336C0"/>
    <w:rsid w:val="4E2B2C88"/>
    <w:rsid w:val="50563A2B"/>
    <w:rsid w:val="50CF7027"/>
    <w:rsid w:val="510F4A72"/>
    <w:rsid w:val="530E2837"/>
    <w:rsid w:val="533B4901"/>
    <w:rsid w:val="535A7B0D"/>
    <w:rsid w:val="53B80923"/>
    <w:rsid w:val="53DC50DF"/>
    <w:rsid w:val="54AF45A2"/>
    <w:rsid w:val="54E702A4"/>
    <w:rsid w:val="554E4461"/>
    <w:rsid w:val="56064695"/>
    <w:rsid w:val="560F4703"/>
    <w:rsid w:val="56270168"/>
    <w:rsid w:val="56B55774"/>
    <w:rsid w:val="57520390"/>
    <w:rsid w:val="575E23BB"/>
    <w:rsid w:val="57E5716C"/>
    <w:rsid w:val="57F001A4"/>
    <w:rsid w:val="58552173"/>
    <w:rsid w:val="585A46CF"/>
    <w:rsid w:val="588F0096"/>
    <w:rsid w:val="59461221"/>
    <w:rsid w:val="59883613"/>
    <w:rsid w:val="59DE4FE1"/>
    <w:rsid w:val="5ACE5056"/>
    <w:rsid w:val="5B0A6847"/>
    <w:rsid w:val="5B5A46DE"/>
    <w:rsid w:val="5B6C77C4"/>
    <w:rsid w:val="5D3214B0"/>
    <w:rsid w:val="5D944335"/>
    <w:rsid w:val="5D9F3F31"/>
    <w:rsid w:val="5E4C2E61"/>
    <w:rsid w:val="5E587A58"/>
    <w:rsid w:val="5E5B21D1"/>
    <w:rsid w:val="5EF20E1A"/>
    <w:rsid w:val="5F4A78B2"/>
    <w:rsid w:val="5F615571"/>
    <w:rsid w:val="5FF73463"/>
    <w:rsid w:val="607803C1"/>
    <w:rsid w:val="60964868"/>
    <w:rsid w:val="60B371C8"/>
    <w:rsid w:val="6104079B"/>
    <w:rsid w:val="6116564E"/>
    <w:rsid w:val="611C46C1"/>
    <w:rsid w:val="61DE3737"/>
    <w:rsid w:val="62311CD4"/>
    <w:rsid w:val="62617F70"/>
    <w:rsid w:val="62E21FE6"/>
    <w:rsid w:val="63256313"/>
    <w:rsid w:val="635752F5"/>
    <w:rsid w:val="64963088"/>
    <w:rsid w:val="65017FFF"/>
    <w:rsid w:val="65503639"/>
    <w:rsid w:val="656C5B97"/>
    <w:rsid w:val="661A16C9"/>
    <w:rsid w:val="66A5612E"/>
    <w:rsid w:val="66C82433"/>
    <w:rsid w:val="66E74776"/>
    <w:rsid w:val="67254250"/>
    <w:rsid w:val="67531B55"/>
    <w:rsid w:val="676F35B6"/>
    <w:rsid w:val="6A8903E7"/>
    <w:rsid w:val="6B340F05"/>
    <w:rsid w:val="6B824366"/>
    <w:rsid w:val="6BB474EC"/>
    <w:rsid w:val="6C2E3BA6"/>
    <w:rsid w:val="6C9C6D62"/>
    <w:rsid w:val="6D383FF5"/>
    <w:rsid w:val="6D754839"/>
    <w:rsid w:val="6E2949F8"/>
    <w:rsid w:val="6EDD1A1B"/>
    <w:rsid w:val="6FE74798"/>
    <w:rsid w:val="702E64C1"/>
    <w:rsid w:val="708B5A6B"/>
    <w:rsid w:val="708E3A36"/>
    <w:rsid w:val="70AB7BF5"/>
    <w:rsid w:val="716231FE"/>
    <w:rsid w:val="722F2426"/>
    <w:rsid w:val="7308200B"/>
    <w:rsid w:val="73DD4830"/>
    <w:rsid w:val="73E11E90"/>
    <w:rsid w:val="743406AC"/>
    <w:rsid w:val="746B30D7"/>
    <w:rsid w:val="74F87447"/>
    <w:rsid w:val="751C3D54"/>
    <w:rsid w:val="75C3529A"/>
    <w:rsid w:val="76004806"/>
    <w:rsid w:val="760C0463"/>
    <w:rsid w:val="763664AB"/>
    <w:rsid w:val="765D783B"/>
    <w:rsid w:val="76A73695"/>
    <w:rsid w:val="77217BDD"/>
    <w:rsid w:val="77832BE1"/>
    <w:rsid w:val="77DC0017"/>
    <w:rsid w:val="781B55BE"/>
    <w:rsid w:val="788C05D2"/>
    <w:rsid w:val="78A74AFF"/>
    <w:rsid w:val="794A36CE"/>
    <w:rsid w:val="79680322"/>
    <w:rsid w:val="799A6D1F"/>
    <w:rsid w:val="79ED6E4F"/>
    <w:rsid w:val="7BAD1191"/>
    <w:rsid w:val="7BC34A15"/>
    <w:rsid w:val="7BC736D0"/>
    <w:rsid w:val="7BF5648F"/>
    <w:rsid w:val="7D250FF6"/>
    <w:rsid w:val="7D4F78C2"/>
    <w:rsid w:val="7D58539A"/>
    <w:rsid w:val="7D7007F8"/>
    <w:rsid w:val="7E99169F"/>
    <w:rsid w:val="7EBB0755"/>
    <w:rsid w:val="7FBF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link w:val="38"/>
    <w:qFormat/>
    <w:uiPriority w:val="0"/>
    <w:pPr>
      <w:jc w:val="left"/>
    </w:pPr>
    <w:rPr>
      <w:rFonts w:ascii="Calibri" w:hAnsi="Calibri"/>
      <w:kern w:val="2"/>
      <w:sz w:val="21"/>
    </w:rPr>
  </w:style>
  <w:style w:type="paragraph" w:styleId="7">
    <w:name w:val="Body Text Indent"/>
    <w:basedOn w:val="1"/>
    <w:next w:val="8"/>
    <w:qFormat/>
    <w:uiPriority w:val="99"/>
    <w:pPr>
      <w:ind w:firstLine="830" w:firstLineChars="352"/>
    </w:pPr>
    <w:rPr>
      <w:rFonts w:ascii="仿宋_GB2312" w:eastAsia="仿宋_GB2312"/>
      <w:sz w:val="32"/>
      <w:szCs w:val="20"/>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spacing w:before="120" w:after="120"/>
      <w:ind w:left="420"/>
      <w:jc w:val="left"/>
    </w:pPr>
    <w:rPr>
      <w:rFonts w:ascii="Calibri" w:hAnsi="Calibri" w:cs="Calibri"/>
      <w:iCs/>
      <w:szCs w:val="20"/>
    </w:rPr>
  </w:style>
  <w:style w:type="paragraph" w:styleId="10">
    <w:name w:val="Plain Text"/>
    <w:basedOn w:val="1"/>
    <w:qFormat/>
    <w:uiPriority w:val="99"/>
    <w:rPr>
      <w:rFonts w:ascii="宋体" w:hAnsi="Courier New" w:cs="Courier New"/>
      <w:kern w:val="2"/>
      <w:sz w:val="21"/>
      <w:szCs w:val="21"/>
    </w:rPr>
  </w:style>
  <w:style w:type="paragraph" w:styleId="11">
    <w:name w:val="Balloon Text"/>
    <w:basedOn w:val="1"/>
    <w:link w:val="40"/>
    <w:qFormat/>
    <w:uiPriority w:val="0"/>
    <w:pPr>
      <w:spacing w:line="240" w:lineRule="auto"/>
    </w:pPr>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toc 2"/>
    <w:basedOn w:val="1"/>
    <w:next w:val="1"/>
    <w:qFormat/>
    <w:uiPriority w:val="39"/>
    <w:pPr>
      <w:spacing w:before="120" w:after="120"/>
      <w:ind w:left="210"/>
      <w:jc w:val="left"/>
    </w:pPr>
    <w:rPr>
      <w:rFonts w:ascii="Calibri" w:hAnsi="Calibri" w:cs="Calibri"/>
      <w:smallCaps/>
      <w:szCs w:val="20"/>
    </w:rPr>
  </w:style>
  <w:style w:type="paragraph" w:styleId="16">
    <w:name w:val="Normal (Web)"/>
    <w:basedOn w:val="1"/>
    <w:qFormat/>
    <w:uiPriority w:val="99"/>
    <w:pPr>
      <w:widowControl/>
      <w:spacing w:before="100" w:beforeAutospacing="1" w:after="100" w:afterAutospacing="1"/>
      <w:jc w:val="left"/>
    </w:pPr>
    <w:rPr>
      <w:rFonts w:ascii="宋体" w:hAnsi="宋体"/>
      <w:sz w:val="24"/>
    </w:rPr>
  </w:style>
  <w:style w:type="paragraph" w:styleId="17">
    <w:name w:val="annotation subject"/>
    <w:basedOn w:val="6"/>
    <w:next w:val="6"/>
    <w:link w:val="39"/>
    <w:qFormat/>
    <w:uiPriority w:val="0"/>
    <w:rPr>
      <w:rFonts w:ascii="Times New Roman" w:hAnsi="Times New Roman"/>
      <w:b/>
      <w:bCs/>
      <w:kern w:val="0"/>
      <w:sz w:val="20"/>
    </w:rPr>
  </w:style>
  <w:style w:type="paragraph" w:styleId="18">
    <w:name w:val="Body Text First Indent 2"/>
    <w:basedOn w:val="7"/>
    <w:qFormat/>
    <w:uiPriority w:val="99"/>
    <w:pPr>
      <w:ind w:left="200" w:firstLine="200" w:firstLineChars="200"/>
    </w:pPr>
    <w:rPr>
      <w:rFonts w:ascii="Times New Roman" w:eastAsia="宋体"/>
      <w:kern w:val="2"/>
    </w:rPr>
  </w:style>
  <w:style w:type="character" w:styleId="21">
    <w:name w:val="Strong"/>
    <w:qFormat/>
    <w:uiPriority w:val="22"/>
    <w:rPr>
      <w:b/>
      <w:bCs/>
    </w:rPr>
  </w:style>
  <w:style w:type="character" w:styleId="22">
    <w:name w:val="page number"/>
    <w:qFormat/>
    <w:uiPriority w:val="0"/>
  </w:style>
  <w:style w:type="character" w:styleId="23">
    <w:name w:val="Hyperlink"/>
    <w:qFormat/>
    <w:uiPriority w:val="99"/>
    <w:rPr>
      <w:rFonts w:eastAsia="宋体"/>
      <w:color w:val="0000FF"/>
      <w:sz w:val="28"/>
      <w:u w:val="single"/>
    </w:rPr>
  </w:style>
  <w:style w:type="character" w:styleId="24">
    <w:name w:val="annotation reference"/>
    <w:qFormat/>
    <w:uiPriority w:val="0"/>
    <w:rPr>
      <w:sz w:val="21"/>
      <w:szCs w:val="21"/>
    </w:rPr>
  </w:style>
  <w:style w:type="paragraph" w:customStyle="1" w:styleId="25">
    <w:name w:val="表格文字"/>
    <w:basedOn w:val="26"/>
    <w:qFormat/>
    <w:uiPriority w:val="0"/>
    <w:pPr>
      <w:spacing w:before="25" w:after="25"/>
      <w:jc w:val="left"/>
    </w:pPr>
    <w:rPr>
      <w:bCs/>
      <w:spacing w:val="10"/>
      <w:sz w:val="24"/>
      <w:szCs w:val="20"/>
    </w:rPr>
  </w:style>
  <w:style w:type="paragraph" w:customStyle="1" w:styleId="26">
    <w:name w:val="表格文字（两侧对齐）"/>
    <w:basedOn w:val="1"/>
    <w:qFormat/>
    <w:uiPriority w:val="0"/>
    <w:pPr>
      <w:snapToGrid w:val="0"/>
      <w:spacing w:line="240" w:lineRule="auto"/>
    </w:pPr>
    <w:rPr>
      <w:rFonts w:ascii="Calibri" w:hAnsi="Calibri"/>
    </w:rPr>
  </w:style>
  <w:style w:type="character" w:customStyle="1" w:styleId="27">
    <w:name w:val="p141"/>
    <w:qFormat/>
    <w:uiPriority w:val="0"/>
    <w:rPr>
      <w:sz w:val="21"/>
      <w:szCs w:val="21"/>
    </w:rPr>
  </w:style>
  <w:style w:type="paragraph" w:styleId="28">
    <w:name w:val="List Paragraph"/>
    <w:basedOn w:val="1"/>
    <w:qFormat/>
    <w:uiPriority w:val="99"/>
    <w:pPr>
      <w:ind w:firstLine="420" w:firstLineChars="200"/>
    </w:pPr>
  </w:style>
  <w:style w:type="paragraph" w:customStyle="1" w:styleId="29">
    <w:name w:val="图"/>
    <w:basedOn w:val="1"/>
    <w:qFormat/>
    <w:uiPriority w:val="0"/>
    <w:pPr>
      <w:keepNext/>
      <w:spacing w:before="60" w:after="60" w:line="300" w:lineRule="auto"/>
      <w:jc w:val="center"/>
      <w:textAlignment w:val="center"/>
    </w:pPr>
    <w:rPr>
      <w:snapToGrid w:val="0"/>
      <w:spacing w:val="20"/>
      <w:sz w:val="24"/>
      <w:szCs w:val="20"/>
    </w:rPr>
  </w:style>
  <w:style w:type="paragraph" w:customStyle="1" w:styleId="30">
    <w:name w:val="正文1"/>
    <w:qFormat/>
    <w:uiPriority w:val="0"/>
    <w:pPr>
      <w:jc w:val="both"/>
    </w:pPr>
    <w:rPr>
      <w:rFonts w:ascii="Calibri" w:hAnsi="Calibri" w:eastAsia="宋体" w:cs="Calibri"/>
      <w:kern w:val="2"/>
      <w:sz w:val="21"/>
      <w:szCs w:val="21"/>
      <w:lang w:val="en-US" w:eastAsia="zh-CN" w:bidi="ar-SA"/>
    </w:rPr>
  </w:style>
  <w:style w:type="character" w:customStyle="1" w:styleId="31">
    <w:name w:val="p141_0"/>
    <w:qFormat/>
    <w:uiPriority w:val="0"/>
    <w:rPr>
      <w:rFonts w:ascii="Calibri" w:hAnsi="Calibri"/>
      <w:sz w:val="21"/>
      <w:szCs w:val="21"/>
    </w:rPr>
  </w:style>
  <w:style w:type="character" w:customStyle="1" w:styleId="32">
    <w:name w:val="15"/>
    <w:qFormat/>
    <w:uiPriority w:val="0"/>
    <w:rPr>
      <w:rFonts w:hint="default" w:ascii="Calibri" w:hAnsi="Calibri" w:cs="Calibri"/>
      <w:sz w:val="21"/>
      <w:szCs w:val="21"/>
    </w:rPr>
  </w:style>
  <w:style w:type="paragraph" w:customStyle="1" w:styleId="33">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4">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35">
    <w:name w:val="彩色列表1"/>
    <w:basedOn w:val="1"/>
    <w:qFormat/>
    <w:uiPriority w:val="34"/>
    <w:pPr>
      <w:ind w:firstLine="420" w:firstLineChars="200"/>
    </w:pPr>
  </w:style>
  <w:style w:type="paragraph" w:customStyle="1" w:styleId="3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修订1"/>
    <w:hidden/>
    <w:semiHidden/>
    <w:qFormat/>
    <w:uiPriority w:val="99"/>
    <w:rPr>
      <w:rFonts w:ascii="Times New Roman" w:hAnsi="Times New Roman" w:eastAsia="宋体" w:cs="Times New Roman"/>
      <w:szCs w:val="24"/>
      <w:lang w:val="en-US" w:eastAsia="zh-CN" w:bidi="ar-SA"/>
    </w:rPr>
  </w:style>
  <w:style w:type="character" w:customStyle="1" w:styleId="38">
    <w:name w:val="批注文字 Char"/>
    <w:basedOn w:val="20"/>
    <w:link w:val="6"/>
    <w:qFormat/>
    <w:uiPriority w:val="0"/>
    <w:rPr>
      <w:rFonts w:ascii="Calibri" w:hAnsi="Calibri"/>
      <w:kern w:val="2"/>
      <w:sz w:val="21"/>
      <w:szCs w:val="24"/>
    </w:rPr>
  </w:style>
  <w:style w:type="character" w:customStyle="1" w:styleId="39">
    <w:name w:val="批注主题 Char"/>
    <w:basedOn w:val="38"/>
    <w:link w:val="17"/>
    <w:qFormat/>
    <w:uiPriority w:val="0"/>
    <w:rPr>
      <w:rFonts w:ascii="Calibri" w:hAnsi="Calibri"/>
      <w:b/>
      <w:bCs/>
      <w:kern w:val="2"/>
      <w:sz w:val="21"/>
      <w:szCs w:val="24"/>
    </w:rPr>
  </w:style>
  <w:style w:type="character" w:customStyle="1" w:styleId="40">
    <w:name w:val="批注框文本 Char"/>
    <w:basedOn w:val="20"/>
    <w:link w:val="11"/>
    <w:qFormat/>
    <w:uiPriority w:val="0"/>
    <w:rPr>
      <w:sz w:val="18"/>
      <w:szCs w:val="18"/>
    </w:rPr>
  </w:style>
  <w:style w:type="paragraph" w:customStyle="1" w:styleId="41">
    <w:name w:val="文档正文"/>
    <w:basedOn w:val="1"/>
    <w:qFormat/>
    <w:uiPriority w:val="99"/>
    <w:pPr>
      <w:spacing w:after="160" w:line="480" w:lineRule="atLeast"/>
      <w:ind w:firstLine="567" w:firstLineChars="200"/>
    </w:pPr>
    <w:rPr>
      <w:rFonts w:ascii="长城仿宋" w:hAnsi="Calibri"/>
      <w:sz w:val="21"/>
      <w:szCs w:val="20"/>
    </w:rPr>
  </w:style>
  <w:style w:type="paragraph" w:customStyle="1" w:styleId="42">
    <w:name w:val="Table Paragraph"/>
    <w:basedOn w:val="1"/>
    <w:qFormat/>
    <w:uiPriority w:val="0"/>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10323</Words>
  <Characters>10816</Characters>
  <Lines>50</Lines>
  <Paragraphs>14</Paragraphs>
  <TotalTime>0</TotalTime>
  <ScaleCrop>false</ScaleCrop>
  <LinksUpToDate>false</LinksUpToDate>
  <CharactersWithSpaces>11793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2022-05-09T09:46:00Z</dcterms:created>
  <dc:creator>采联国际招标采购集团有限公司</dc:creator>
  <cp:lastModifiedBy>陈光宾²⁰²⁰</cp:lastModifiedBy>
  <cp:lastPrinted>2022-10-18T06:40:00Z</cp:lastPrinted>
  <dcterms:modified xsi:type="dcterms:W3CDTF">2023-10-27T01:27:16Z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3D7624D8E8524BC68C39DA99C95DDCF9</vt:lpwstr>
  </property>
</Properties>
</file>