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sz w:val="36"/>
          <w:lang w:val="en-US" w:eastAsia="zh-CN"/>
        </w:rPr>
      </w:pPr>
      <w:r>
        <w:rPr>
          <w:rFonts w:hint="eastAsia"/>
          <w:b/>
          <w:sz w:val="36"/>
          <w:lang w:eastAsia="zh-CN"/>
        </w:rPr>
        <w:t>附件</w:t>
      </w:r>
      <w:r>
        <w:rPr>
          <w:rFonts w:hint="eastAsia"/>
          <w:b/>
          <w:sz w:val="36"/>
          <w:lang w:val="en-US" w:eastAsia="zh-CN"/>
        </w:rPr>
        <w:t>1</w:t>
      </w:r>
      <w:r>
        <w:rPr>
          <w:rFonts w:hint="eastAsia"/>
          <w:b/>
          <w:sz w:val="36"/>
          <w:lang w:eastAsia="zh-CN"/>
        </w:rPr>
        <w:t>：</w:t>
      </w:r>
      <w:r>
        <w:rPr>
          <w:rFonts w:hint="eastAsia"/>
          <w:b/>
          <w:sz w:val="36"/>
          <w:lang w:val="en-US" w:eastAsia="zh-CN"/>
        </w:rPr>
        <w:t xml:space="preserve">         </w:t>
      </w:r>
    </w:p>
    <w:p>
      <w:pPr>
        <w:jc w:val="center"/>
      </w:pPr>
      <w:r>
        <w:rPr>
          <w:rFonts w:hint="eastAsia"/>
          <w:b/>
          <w:bCs/>
          <w:color w:val="000000" w:themeColor="text1"/>
          <w:sz w:val="30"/>
          <w:szCs w:val="30"/>
          <w:highlight w:val="none"/>
          <w:lang w:val="en-US" w:eastAsia="zh-CN"/>
          <w14:textFill>
            <w14:solidFill>
              <w14:schemeClr w14:val="tx1"/>
            </w14:solidFill>
          </w14:textFill>
        </w:rPr>
        <w:t xml:space="preserve">第二章 </w:t>
      </w:r>
      <w:bookmarkStart w:id="16" w:name="_GoBack"/>
      <w:bookmarkEnd w:id="16"/>
      <w:r>
        <w:rPr>
          <w:rFonts w:hint="eastAsia"/>
          <w:b/>
          <w:bCs/>
          <w:color w:val="000000" w:themeColor="text1"/>
          <w:sz w:val="30"/>
          <w:szCs w:val="30"/>
          <w:highlight w:val="none"/>
          <w:lang w:val="en-US" w:eastAsia="zh-CN"/>
          <w14:textFill>
            <w14:solidFill>
              <w14:schemeClr w14:val="tx1"/>
            </w14:solidFill>
          </w14:textFill>
        </w:rPr>
        <w:t>采购需求</w:t>
      </w:r>
    </w:p>
    <w:p>
      <w:r>
        <w:rPr>
          <w:b/>
          <w:sz w:val="28"/>
        </w:rPr>
        <w:t>一、项目概况：</w:t>
      </w:r>
    </w:p>
    <w:p>
      <w:pPr>
        <w:spacing w:line="360" w:lineRule="auto"/>
        <w:ind w:firstLine="420" w:firstLineChars="200"/>
        <w:jc w:val="left"/>
        <w:rPr>
          <w:rFonts w:ascii="宋体" w:hAnsi="宋体" w:eastAsia="宋体" w:cs="宋体"/>
          <w:bCs/>
          <w:szCs w:val="21"/>
        </w:rPr>
      </w:pPr>
      <w:r>
        <w:rPr>
          <w:rFonts w:hint="eastAsia" w:ascii="宋体" w:hAnsi="宋体" w:eastAsia="宋体" w:cs="宋体"/>
          <w:bCs/>
          <w:szCs w:val="21"/>
        </w:rPr>
        <w:t>本项目为广州市妇女儿童医疗中心（增城院区）初、中、高效空气过滤器采购，包含所有空气过滤器更换、安装、调试和检测。</w:t>
      </w:r>
    </w:p>
    <w:p>
      <w:pPr>
        <w:spacing w:line="360" w:lineRule="auto"/>
        <w:jc w:val="left"/>
        <w:rPr>
          <w:rFonts w:ascii="宋体" w:hAnsi="宋体" w:eastAsia="宋体" w:cs="宋体"/>
          <w:b/>
          <w:bCs/>
          <w:szCs w:val="21"/>
        </w:rPr>
      </w:pPr>
      <w:r>
        <w:rPr>
          <w:rFonts w:hint="eastAsia" w:ascii="宋体" w:hAnsi="宋体" w:eastAsia="宋体" w:cs="宋体"/>
          <w:b/>
          <w:bCs/>
          <w:szCs w:val="21"/>
        </w:rPr>
        <w:t>1. 采购项目内容：</w:t>
      </w:r>
    </w:p>
    <w:tbl>
      <w:tblPr>
        <w:tblStyle w:val="2"/>
        <w:tblW w:w="869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62"/>
        <w:gridCol w:w="700"/>
        <w:gridCol w:w="1336"/>
        <w:gridCol w:w="1237"/>
        <w:gridCol w:w="1846"/>
        <w:gridCol w:w="15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b/>
                <w:szCs w:val="21"/>
              </w:rPr>
              <w:t>项目内容</w:t>
            </w:r>
          </w:p>
        </w:tc>
        <w:tc>
          <w:tcPr>
            <w:tcW w:w="700" w:type="dxa"/>
            <w:tcBorders>
              <w:top w:val="single" w:color="000000" w:sz="4" w:space="0"/>
              <w:left w:val="nil"/>
              <w:bottom w:val="single" w:color="000000" w:sz="4" w:space="0"/>
              <w:right w:val="single" w:color="000000" w:sz="4" w:space="0"/>
            </w:tcBorders>
            <w:vAlign w:val="center"/>
          </w:tcPr>
          <w:p>
            <w:pPr>
              <w:spacing w:before="156" w:beforeLines="50" w:line="360" w:lineRule="auto"/>
              <w:jc w:val="center"/>
              <w:rPr>
                <w:rFonts w:ascii="宋体" w:hAnsi="宋体" w:eastAsia="宋体" w:cs="宋体"/>
                <w:b/>
                <w:szCs w:val="21"/>
              </w:rPr>
            </w:pPr>
            <w:r>
              <w:rPr>
                <w:rFonts w:hint="eastAsia" w:ascii="宋体" w:hAnsi="宋体" w:eastAsia="宋体" w:cs="宋体"/>
                <w:b/>
                <w:szCs w:val="21"/>
              </w:rPr>
              <w:t>数量</w:t>
            </w:r>
          </w:p>
        </w:tc>
        <w:tc>
          <w:tcPr>
            <w:tcW w:w="1336"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b/>
                <w:szCs w:val="21"/>
              </w:rPr>
              <w:t>服务期</w:t>
            </w:r>
          </w:p>
        </w:tc>
        <w:tc>
          <w:tcPr>
            <w:tcW w:w="1237"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b/>
                <w:szCs w:val="21"/>
              </w:rPr>
              <w:t>最高限价</w:t>
            </w:r>
          </w:p>
        </w:tc>
        <w:tc>
          <w:tcPr>
            <w:tcW w:w="1846"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b/>
                <w:szCs w:val="21"/>
              </w:rPr>
              <w:t>跨年预算说明</w:t>
            </w:r>
          </w:p>
        </w:tc>
        <w:tc>
          <w:tcPr>
            <w:tcW w:w="1517"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b/>
                <w:szCs w:val="21"/>
              </w:rPr>
              <w:t>标的所属行业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62" w:type="dxa"/>
            <w:tcBorders>
              <w:top w:val="nil"/>
              <w:left w:val="single" w:color="000000" w:sz="4" w:space="0"/>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bCs/>
                <w:szCs w:val="21"/>
              </w:rPr>
              <w:t>广州市妇女儿童医疗中心增城院区洁净空调滤网采购</w:t>
            </w:r>
          </w:p>
        </w:tc>
        <w:tc>
          <w:tcPr>
            <w:tcW w:w="700" w:type="dxa"/>
            <w:tcBorders>
              <w:top w:val="nil"/>
              <w:left w:val="nil"/>
              <w:bottom w:val="single" w:color="000000" w:sz="4" w:space="0"/>
              <w:right w:val="single" w:color="000000" w:sz="4" w:space="0"/>
            </w:tcBorders>
            <w:vAlign w:val="center"/>
          </w:tcPr>
          <w:p>
            <w:pPr>
              <w:spacing w:before="156" w:beforeLines="50" w:line="360" w:lineRule="auto"/>
              <w:jc w:val="center"/>
              <w:rPr>
                <w:rFonts w:ascii="宋体" w:hAnsi="宋体" w:eastAsia="宋体" w:cs="宋体"/>
                <w:szCs w:val="21"/>
              </w:rPr>
            </w:pPr>
            <w:r>
              <w:rPr>
                <w:rFonts w:hint="eastAsia" w:ascii="宋体" w:hAnsi="宋体" w:eastAsia="宋体" w:cs="宋体"/>
                <w:szCs w:val="21"/>
              </w:rPr>
              <w:t>1批</w:t>
            </w:r>
          </w:p>
        </w:tc>
        <w:tc>
          <w:tcPr>
            <w:tcW w:w="1336" w:type="dxa"/>
            <w:tcBorders>
              <w:top w:val="nil"/>
              <w:left w:val="nil"/>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自合同生效之日起1年</w:t>
            </w:r>
          </w:p>
        </w:tc>
        <w:tc>
          <w:tcPr>
            <w:tcW w:w="1237" w:type="dxa"/>
            <w:tcBorders>
              <w:top w:val="nil"/>
              <w:left w:val="nil"/>
              <w:bottom w:val="single" w:color="000000" w:sz="4" w:space="0"/>
              <w:right w:val="single" w:color="000000" w:sz="4" w:space="0"/>
            </w:tcBorders>
            <w:vAlign w:val="center"/>
          </w:tcPr>
          <w:p>
            <w:pPr>
              <w:ind w:firstLine="2"/>
              <w:jc w:val="center"/>
              <w:rPr>
                <w:rFonts w:ascii="宋体" w:hAnsi="宋体" w:eastAsia="宋体" w:cs="宋体"/>
                <w:szCs w:val="21"/>
              </w:rPr>
            </w:pPr>
            <w:r>
              <w:rPr>
                <w:rFonts w:hint="eastAsia" w:ascii="宋体" w:hAnsi="宋体" w:eastAsia="宋体" w:cs="宋体"/>
                <w:szCs w:val="21"/>
              </w:rPr>
              <w:t>人民币35万元</w:t>
            </w:r>
          </w:p>
        </w:tc>
        <w:tc>
          <w:tcPr>
            <w:tcW w:w="1846" w:type="dxa"/>
            <w:tcBorders>
              <w:top w:val="nil"/>
              <w:left w:val="nil"/>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35万元</w:t>
            </w:r>
          </w:p>
          <w:p>
            <w:pPr>
              <w:jc w:val="center"/>
              <w:rPr>
                <w:rFonts w:ascii="宋体" w:hAnsi="宋体" w:eastAsia="宋体" w:cs="宋体"/>
                <w:szCs w:val="21"/>
              </w:rPr>
            </w:pPr>
          </w:p>
        </w:tc>
        <w:tc>
          <w:tcPr>
            <w:tcW w:w="1517" w:type="dxa"/>
            <w:tcBorders>
              <w:top w:val="nil"/>
              <w:left w:val="nil"/>
              <w:bottom w:val="single" w:color="000000" w:sz="4" w:space="0"/>
              <w:right w:val="single" w:color="000000" w:sz="4" w:space="0"/>
            </w:tcBorders>
            <w:vAlign w:val="center"/>
          </w:tcPr>
          <w:p>
            <w:pPr>
              <w:jc w:val="center"/>
              <w:rPr>
                <w:rFonts w:ascii="宋体" w:hAnsi="宋体" w:eastAsia="宋体" w:cs="宋体"/>
                <w:szCs w:val="21"/>
              </w:rPr>
            </w:pPr>
            <w:r>
              <w:rPr>
                <w:rFonts w:hint="eastAsia" w:ascii="宋体" w:hAnsi="宋体" w:eastAsia="宋体" w:cs="宋体"/>
                <w:szCs w:val="21"/>
              </w:rPr>
              <w:t>工业</w:t>
            </w:r>
          </w:p>
        </w:tc>
      </w:tr>
    </w:tbl>
    <w:p>
      <w:pPr>
        <w:spacing w:line="360" w:lineRule="auto"/>
        <w:jc w:val="left"/>
        <w:rPr>
          <w:rFonts w:ascii="宋体" w:hAnsi="宋体" w:eastAsia="宋体" w:cs="宋体"/>
          <w:b/>
          <w:bCs/>
          <w:szCs w:val="21"/>
        </w:rPr>
      </w:pPr>
      <w:r>
        <w:rPr>
          <w:rFonts w:hint="eastAsia" w:ascii="宋体" w:hAnsi="宋体" w:eastAsia="宋体" w:cs="宋体"/>
          <w:b/>
          <w:bCs/>
          <w:szCs w:val="21"/>
        </w:rPr>
        <w:t>2. 项目属性：货物类</w:t>
      </w:r>
    </w:p>
    <w:p>
      <w:pPr>
        <w:spacing w:line="360" w:lineRule="auto"/>
        <w:jc w:val="left"/>
        <w:rPr>
          <w:rFonts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rPr>
        <w:t>. 采购项目基本要求：</w:t>
      </w:r>
    </w:p>
    <w:p>
      <w:pPr>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供应商</w:t>
      </w:r>
      <w:r>
        <w:rPr>
          <w:rFonts w:hint="eastAsia" w:ascii="宋体" w:hAnsi="宋体" w:eastAsia="宋体" w:cs="宋体"/>
          <w:szCs w:val="21"/>
        </w:rPr>
        <w:t>必须承诺提供厂商原装、全新的、符合用户提出的有关质量标准的货物。</w:t>
      </w:r>
    </w:p>
    <w:p>
      <w:pPr>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rPr>
        <w:t>（2）所有货物在开箱检验时必须完好，无破损，配置与装箱单相符。货物外观清洁。数量、质量及性能不低于本需求书中提出的要求。</w:t>
      </w:r>
    </w:p>
    <w:p>
      <w:pPr>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rPr>
        <w:t>（3）对于影响货物正常工作的必要组成部分，无论在技术规范中指出与否，</w:t>
      </w:r>
      <w:r>
        <w:rPr>
          <w:rFonts w:hint="eastAsia" w:ascii="宋体" w:hAnsi="宋体" w:eastAsia="宋体" w:cs="宋体"/>
          <w:szCs w:val="21"/>
          <w:lang w:eastAsia="zh-CN"/>
        </w:rPr>
        <w:t>供应商</w:t>
      </w:r>
      <w:r>
        <w:rPr>
          <w:rFonts w:hint="eastAsia" w:ascii="宋体" w:hAnsi="宋体" w:eastAsia="宋体" w:cs="宋体"/>
          <w:szCs w:val="21"/>
        </w:rPr>
        <w:t>都应提供并在</w:t>
      </w:r>
      <w:r>
        <w:rPr>
          <w:rFonts w:hint="eastAsia" w:ascii="宋体" w:hAnsi="宋体" w:eastAsia="宋体" w:cs="宋体"/>
          <w:szCs w:val="21"/>
          <w:lang w:eastAsia="zh-CN"/>
        </w:rPr>
        <w:t>响应</w:t>
      </w:r>
      <w:r>
        <w:rPr>
          <w:rFonts w:hint="eastAsia" w:ascii="宋体" w:hAnsi="宋体" w:eastAsia="宋体" w:cs="宋体"/>
          <w:szCs w:val="21"/>
        </w:rPr>
        <w:t>文件中明确列出。</w:t>
      </w:r>
    </w:p>
    <w:p>
      <w:pPr>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rPr>
        <w:t>（4）由</w:t>
      </w:r>
      <w:r>
        <w:rPr>
          <w:rFonts w:hint="eastAsia" w:ascii="宋体" w:hAnsi="宋体" w:eastAsia="宋体" w:cs="宋体"/>
          <w:szCs w:val="21"/>
          <w:lang w:eastAsia="zh-CN"/>
        </w:rPr>
        <w:t>成交供应商</w:t>
      </w:r>
      <w:r>
        <w:rPr>
          <w:rFonts w:hint="eastAsia" w:ascii="宋体" w:hAnsi="宋体" w:eastAsia="宋体" w:cs="宋体"/>
          <w:szCs w:val="21"/>
        </w:rPr>
        <w:t>负责按国家相关标准进行货物包装，设备的包装均应有良好的防湿、防锈、防潮、防雨、防腐及防碰撞的措施，</w:t>
      </w:r>
      <w:r>
        <w:rPr>
          <w:rFonts w:hint="eastAsia" w:ascii="宋体" w:hAnsi="宋体" w:eastAsia="宋体" w:cs="宋体"/>
          <w:bCs/>
          <w:szCs w:val="21"/>
        </w:rPr>
        <w:t>并适宜本项目实施地点的气候条件</w:t>
      </w:r>
      <w:r>
        <w:rPr>
          <w:rFonts w:hint="eastAsia" w:ascii="宋体" w:hAnsi="宋体" w:eastAsia="宋体" w:cs="宋体"/>
          <w:szCs w:val="21"/>
        </w:rPr>
        <w:t>。凡由于包装不良造成的损失和由此产生的费用均由</w:t>
      </w:r>
      <w:r>
        <w:rPr>
          <w:rFonts w:hint="eastAsia" w:ascii="宋体" w:hAnsi="宋体" w:eastAsia="宋体" w:cs="宋体"/>
          <w:szCs w:val="21"/>
          <w:lang w:eastAsia="zh-CN"/>
        </w:rPr>
        <w:t>成交供应商</w:t>
      </w:r>
      <w:r>
        <w:rPr>
          <w:rFonts w:hint="eastAsia" w:ascii="宋体" w:hAnsi="宋体" w:eastAsia="宋体" w:cs="宋体"/>
          <w:szCs w:val="21"/>
        </w:rPr>
        <w:t>承担。</w:t>
      </w:r>
    </w:p>
    <w:p>
      <w:pPr>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rPr>
        <w:t>（5）因产品的质量问题发生争议，由广东省或广州市质检部门进行质量鉴定。采购人与</w:t>
      </w:r>
      <w:r>
        <w:rPr>
          <w:rFonts w:hint="eastAsia" w:ascii="宋体" w:hAnsi="宋体" w:eastAsia="宋体" w:cs="宋体"/>
          <w:szCs w:val="21"/>
          <w:lang w:eastAsia="zh-CN"/>
        </w:rPr>
        <w:t>成交供应商</w:t>
      </w:r>
      <w:r>
        <w:rPr>
          <w:rFonts w:hint="eastAsia" w:ascii="宋体" w:hAnsi="宋体" w:eastAsia="宋体" w:cs="宋体"/>
          <w:szCs w:val="21"/>
        </w:rPr>
        <w:t>认为有需要，可以共同提出或分别提出质量鉴定，广东省质检部门与广州市质检部门的鉴定结论不一致的，以广东省质检部门的鉴定结论为准。产品符合质量标准的，鉴定费由采购人承担；产品不符合质量标准的，鉴定费由</w:t>
      </w:r>
      <w:r>
        <w:rPr>
          <w:rFonts w:hint="eastAsia" w:ascii="宋体" w:hAnsi="宋体" w:eastAsia="宋体" w:cs="宋体"/>
          <w:szCs w:val="21"/>
          <w:lang w:eastAsia="zh-CN"/>
        </w:rPr>
        <w:t>成交供应商</w:t>
      </w:r>
      <w:r>
        <w:rPr>
          <w:rFonts w:hint="eastAsia" w:ascii="宋体" w:hAnsi="宋体" w:eastAsia="宋体" w:cs="宋体"/>
          <w:szCs w:val="21"/>
        </w:rPr>
        <w:t>承担。</w:t>
      </w:r>
    </w:p>
    <w:p>
      <w:pPr>
        <w:spacing w:line="360" w:lineRule="auto"/>
        <w:ind w:left="525" w:hanging="525" w:hangingChars="250"/>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成交供应商</w:t>
      </w:r>
      <w:r>
        <w:rPr>
          <w:rFonts w:hint="eastAsia" w:ascii="宋体" w:hAnsi="宋体" w:eastAsia="宋体" w:cs="宋体"/>
          <w:szCs w:val="21"/>
        </w:rPr>
        <w:t>的</w:t>
      </w:r>
      <w:r>
        <w:rPr>
          <w:rFonts w:hint="eastAsia" w:ascii="宋体" w:hAnsi="宋体" w:eastAsia="宋体" w:cs="宋体"/>
          <w:szCs w:val="21"/>
          <w:lang w:eastAsia="zh-CN"/>
        </w:rPr>
        <w:t>响应</w:t>
      </w:r>
      <w:r>
        <w:rPr>
          <w:rFonts w:hint="eastAsia" w:ascii="宋体" w:hAnsi="宋体" w:eastAsia="宋体" w:cs="宋体"/>
          <w:szCs w:val="21"/>
        </w:rPr>
        <w:t>报价为合同价，须包含但不限于以下全部费用：货物价格、仓储费、包装、运输费、送货费，更换空气过滤器人工费、安装设备费、清洁消毒费、调试费、税费，以及为完成本项目所引起的费用。</w:t>
      </w:r>
      <w:r>
        <w:rPr>
          <w:rFonts w:hint="eastAsia" w:ascii="宋体" w:hAnsi="宋体" w:eastAsia="宋体" w:cs="宋体"/>
          <w:szCs w:val="21"/>
          <w:lang w:eastAsia="zh-CN"/>
        </w:rPr>
        <w:t>成交</w:t>
      </w:r>
      <w:r>
        <w:rPr>
          <w:rFonts w:hint="eastAsia" w:ascii="宋体" w:hAnsi="宋体" w:eastAsia="宋体" w:cs="宋体"/>
          <w:szCs w:val="21"/>
        </w:rPr>
        <w:t>单价在合同执行期间不变，但有国家文件规定的双方可以协商处理。</w:t>
      </w:r>
    </w:p>
    <w:p>
      <w:pPr>
        <w:spacing w:line="360" w:lineRule="auto"/>
        <w:ind w:left="525" w:hanging="525" w:hangingChars="250"/>
        <w:rPr>
          <w:rFonts w:ascii="宋体" w:hAnsi="宋体" w:eastAsia="宋体" w:cs="宋体"/>
          <w:szCs w:val="21"/>
        </w:rPr>
      </w:pPr>
      <w:r>
        <w:rPr>
          <w:rFonts w:hint="eastAsia" w:ascii="宋体" w:hAnsi="宋体" w:eastAsia="宋体" w:cs="宋体"/>
          <w:szCs w:val="21"/>
        </w:rPr>
        <w:t>（7）除采购人有明确规定外，</w:t>
      </w:r>
      <w:r>
        <w:rPr>
          <w:rFonts w:hint="eastAsia" w:ascii="宋体" w:hAnsi="宋体" w:eastAsia="宋体" w:cs="宋体"/>
          <w:szCs w:val="21"/>
          <w:lang w:eastAsia="zh-CN"/>
        </w:rPr>
        <w:t>成交供应商</w:t>
      </w:r>
      <w:r>
        <w:rPr>
          <w:rFonts w:hint="eastAsia" w:ascii="宋体" w:hAnsi="宋体" w:eastAsia="宋体" w:cs="宋体"/>
          <w:szCs w:val="21"/>
        </w:rPr>
        <w:t>不得以任何方式转包或分包本项目。</w:t>
      </w:r>
    </w:p>
    <w:p>
      <w:pPr>
        <w:spacing w:line="360" w:lineRule="auto"/>
        <w:ind w:left="525" w:hanging="525" w:hangingChars="250"/>
        <w:rPr>
          <w:rFonts w:ascii="宋体" w:hAnsi="宋体" w:eastAsia="宋体" w:cs="宋体"/>
          <w:szCs w:val="21"/>
        </w:rPr>
      </w:pPr>
      <w:r>
        <w:rPr>
          <w:rFonts w:hint="eastAsia" w:ascii="宋体" w:hAnsi="宋体" w:eastAsia="宋体" w:cs="宋体"/>
          <w:szCs w:val="21"/>
        </w:rPr>
        <w:t>（8）凡属于《中华人民共和国实施强制性产品认证的产品目录》的产品，请</w:t>
      </w:r>
      <w:r>
        <w:rPr>
          <w:rFonts w:hint="eastAsia" w:ascii="宋体" w:hAnsi="宋体" w:eastAsia="宋体" w:cs="宋体"/>
          <w:szCs w:val="21"/>
          <w:lang w:eastAsia="zh-CN"/>
        </w:rPr>
        <w:t>供应商</w:t>
      </w:r>
      <w:r>
        <w:rPr>
          <w:rFonts w:hint="eastAsia" w:ascii="宋体" w:hAnsi="宋体" w:eastAsia="宋体" w:cs="宋体"/>
          <w:szCs w:val="21"/>
        </w:rPr>
        <w:t>承诺在交货时提供该产品的《中国强制认证》（CCC认证）。</w:t>
      </w:r>
    </w:p>
    <w:p>
      <w:pPr>
        <w:spacing w:line="360" w:lineRule="auto"/>
        <w:ind w:left="525" w:hanging="525" w:hangingChars="250"/>
        <w:rPr>
          <w:rFonts w:ascii="宋体" w:hAnsi="宋体" w:eastAsia="宋体" w:cs="宋体"/>
          <w:color w:val="000000"/>
          <w:szCs w:val="21"/>
        </w:rPr>
      </w:pPr>
      <w:r>
        <w:rPr>
          <w:rFonts w:hint="eastAsia" w:ascii="宋体" w:hAnsi="宋体" w:eastAsia="宋体" w:cs="宋体"/>
          <w:color w:val="000000"/>
          <w:szCs w:val="21"/>
        </w:rPr>
        <w:t>（9）为了保证产品具有追溯性且保证质量，</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应为所投过滤器的厂家或代理经销商，如</w:t>
      </w:r>
      <w:r>
        <w:rPr>
          <w:rFonts w:hint="eastAsia" w:ascii="宋体" w:hAnsi="宋体" w:eastAsia="宋体" w:cs="宋体"/>
          <w:color w:val="000000"/>
          <w:szCs w:val="21"/>
          <w:lang w:eastAsia="zh-CN"/>
        </w:rPr>
        <w:t>供应商</w:t>
      </w:r>
      <w:r>
        <w:rPr>
          <w:rFonts w:hint="eastAsia" w:ascii="宋体" w:hAnsi="宋体" w:eastAsia="宋体" w:cs="宋体"/>
          <w:color w:val="000000"/>
          <w:szCs w:val="21"/>
        </w:rPr>
        <w:t>为代理经销商，应具备有效的授权证明资料。</w:t>
      </w:r>
    </w:p>
    <w:p>
      <w:pPr>
        <w:spacing w:line="360" w:lineRule="auto"/>
        <w:jc w:val="left"/>
        <w:rPr>
          <w:rFonts w:ascii="宋体" w:hAnsi="宋体" w:eastAsia="宋体" w:cs="宋体"/>
          <w:b/>
          <w:bCs/>
          <w:szCs w:val="21"/>
        </w:rPr>
      </w:pPr>
      <w:r>
        <w:rPr>
          <w:rFonts w:hint="eastAsia" w:ascii="宋体" w:hAnsi="宋体" w:eastAsia="宋体" w:cs="宋体"/>
          <w:b/>
          <w:bCs/>
          <w:szCs w:val="21"/>
        </w:rPr>
        <w:t>二、货物清单：</w:t>
      </w:r>
    </w:p>
    <w:p>
      <w:pPr>
        <w:spacing w:line="360" w:lineRule="auto"/>
        <w:jc w:val="left"/>
        <w:rPr>
          <w:rFonts w:hint="eastAsia" w:ascii="宋体" w:hAnsi="宋体" w:eastAsia="宋体" w:cs="宋体"/>
          <w:b/>
          <w:bCs/>
          <w:szCs w:val="21"/>
        </w:rPr>
      </w:pPr>
      <w:r>
        <w:rPr>
          <w:rFonts w:hint="eastAsia" w:ascii="宋体" w:hAnsi="宋体" w:eastAsia="宋体" w:cs="宋体"/>
          <w:b/>
          <w:bCs/>
          <w:szCs w:val="21"/>
        </w:rPr>
        <w:t>（一）</w:t>
      </w:r>
      <w:r>
        <w:rPr>
          <w:rFonts w:hint="eastAsia" w:ascii="宋体" w:hAnsi="宋体" w:eastAsia="宋体" w:cs="宋体"/>
          <w:b/>
          <w:bCs/>
          <w:szCs w:val="21"/>
          <w:lang w:val="en-US" w:eastAsia="zh-CN"/>
        </w:rPr>
        <w:t>广州妇女儿童医疗中心增城</w:t>
      </w:r>
      <w:r>
        <w:rPr>
          <w:rFonts w:hint="eastAsia" w:ascii="宋体" w:hAnsi="宋体" w:eastAsia="宋体" w:cs="宋体"/>
          <w:b/>
          <w:bCs/>
          <w:szCs w:val="21"/>
        </w:rPr>
        <w:t>院区高效空气过滤器</w:t>
      </w:r>
      <w:r>
        <w:rPr>
          <w:rFonts w:hint="eastAsia" w:ascii="宋体" w:hAnsi="宋体" w:eastAsia="宋体" w:cs="宋体"/>
          <w:b/>
          <w:bCs/>
          <w:szCs w:val="21"/>
          <w:lang w:val="en-US" w:eastAsia="zh-CN"/>
        </w:rPr>
        <w:t>1</w:t>
      </w:r>
      <w:r>
        <w:rPr>
          <w:rFonts w:hint="eastAsia" w:ascii="宋体" w:hAnsi="宋体" w:eastAsia="宋体" w:cs="宋体"/>
          <w:b/>
          <w:bCs/>
          <w:szCs w:val="21"/>
        </w:rPr>
        <w:t>年用量清单：</w:t>
      </w:r>
    </w:p>
    <w:tbl>
      <w:tblPr>
        <w:tblStyle w:val="2"/>
        <w:tblW w:w="8256" w:type="dxa"/>
        <w:tblInd w:w="93" w:type="dxa"/>
        <w:tblLayout w:type="fixed"/>
        <w:tblCellMar>
          <w:top w:w="0" w:type="dxa"/>
          <w:left w:w="108" w:type="dxa"/>
          <w:bottom w:w="0" w:type="dxa"/>
          <w:right w:w="108" w:type="dxa"/>
        </w:tblCellMar>
      </w:tblPr>
      <w:tblGrid>
        <w:gridCol w:w="741"/>
        <w:gridCol w:w="1755"/>
        <w:gridCol w:w="2250"/>
        <w:gridCol w:w="780"/>
        <w:gridCol w:w="555"/>
        <w:gridCol w:w="855"/>
        <w:gridCol w:w="1320"/>
      </w:tblGrid>
      <w:tr>
        <w:tblPrEx>
          <w:tblCellMar>
            <w:top w:w="0" w:type="dxa"/>
            <w:left w:w="108" w:type="dxa"/>
            <w:bottom w:w="0" w:type="dxa"/>
            <w:right w:w="108" w:type="dxa"/>
          </w:tblCellMar>
        </w:tblPrEx>
        <w:trPr>
          <w:trHeight w:val="710" w:hRule="atLeast"/>
        </w:trPr>
        <w:tc>
          <w:tcPr>
            <w:tcW w:w="7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科室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项目</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数量</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小计</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lang w:bidi="ar"/>
              </w:rPr>
              <w:t>每年数量</w:t>
            </w: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b/>
                <w:bCs/>
                <w:color w:val="000000"/>
                <w:kern w:val="0"/>
                <w:sz w:val="28"/>
                <w:szCs w:val="28"/>
                <w:lang w:bidi="ar"/>
              </w:rPr>
            </w:pPr>
            <w:r>
              <w:rPr>
                <w:rFonts w:hint="eastAsia" w:ascii="宋体" w:hAnsi="宋体" w:cs="宋体"/>
                <w:b/>
                <w:bCs/>
                <w:color w:val="000000"/>
                <w:kern w:val="0"/>
                <w:sz w:val="28"/>
                <w:szCs w:val="28"/>
                <w:lang w:bidi="ar"/>
              </w:rPr>
              <w:t>住院</w:t>
            </w:r>
          </w:p>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val="en-US" w:eastAsia="zh-CN" w:bidi="ar"/>
              </w:rPr>
              <w:t>五</w:t>
            </w:r>
            <w:r>
              <w:rPr>
                <w:rFonts w:hint="eastAsia" w:ascii="宋体" w:hAnsi="宋体" w:cs="宋体"/>
                <w:b/>
                <w:bCs/>
                <w:color w:val="000000"/>
                <w:kern w:val="0"/>
                <w:sz w:val="28"/>
                <w:szCs w:val="28"/>
                <w:lang w:bidi="ar"/>
              </w:rPr>
              <w:t>楼NICU/PICU</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W595*H490*D46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W595*H490*D46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W287*H592*D381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W287*H592*D381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126</w:t>
            </w:r>
          </w:p>
        </w:tc>
      </w:tr>
      <w:tr>
        <w:tblPrEx>
          <w:tblCellMar>
            <w:top w:w="0" w:type="dxa"/>
            <w:left w:w="108" w:type="dxa"/>
            <w:bottom w:w="0" w:type="dxa"/>
            <w:right w:w="108" w:type="dxa"/>
          </w:tblCellMar>
        </w:tblPrEx>
        <w:trPr>
          <w:trHeight w:val="325"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住院四楼新生儿科</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W290*H595*D46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W595*H490*D46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W595*H290*D46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G4初效过滤网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W595*H595*D46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78</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W287*H592*D381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W592*H592*D381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W592*H287*D381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F8中效过滤网</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W592*H490*D381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w:t>
            </w:r>
          </w:p>
        </w:tc>
      </w:tr>
      <w:tr>
        <w:tblPrEx>
          <w:tblCellMar>
            <w:top w:w="0" w:type="dxa"/>
            <w:left w:w="108" w:type="dxa"/>
            <w:bottom w:w="0" w:type="dxa"/>
            <w:right w:w="108" w:type="dxa"/>
          </w:tblCellMar>
        </w:tblPrEx>
        <w:trPr>
          <w:trHeight w:val="314"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4"/>
                <w:szCs w:val="24"/>
                <w:lang w:bidi="ar"/>
              </w:rPr>
              <w:t>住院二楼静配中心</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592*287*46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415*415*46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287*592*381*3P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704"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r>
      <w:tr>
        <w:tblPrEx>
          <w:tblCellMar>
            <w:top w:w="0" w:type="dxa"/>
            <w:left w:w="108" w:type="dxa"/>
            <w:bottom w:w="0" w:type="dxa"/>
            <w:right w:w="108" w:type="dxa"/>
          </w:tblCellMar>
        </w:tblPrEx>
        <w:trPr>
          <w:trHeight w:val="710"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门诊楼</w:t>
            </w:r>
            <w:r>
              <w:rPr>
                <w:rFonts w:hint="eastAsia" w:ascii="宋体" w:hAnsi="宋体" w:cs="宋体"/>
                <w:b/>
                <w:bCs/>
                <w:color w:val="000000"/>
                <w:kern w:val="0"/>
                <w:sz w:val="28"/>
                <w:szCs w:val="28"/>
                <w:lang w:val="en-US" w:eastAsia="zh-CN" w:bidi="ar"/>
              </w:rPr>
              <w:t>五</w:t>
            </w:r>
            <w:r>
              <w:rPr>
                <w:rFonts w:hint="eastAsia" w:ascii="宋体" w:hAnsi="宋体" w:cs="宋体"/>
                <w:b/>
                <w:bCs/>
                <w:color w:val="000000"/>
                <w:kern w:val="0"/>
                <w:sz w:val="28"/>
                <w:szCs w:val="28"/>
                <w:lang w:bidi="ar"/>
              </w:rPr>
              <w:t>楼手术中心</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288</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592*287*46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630*500*46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1000*1000*46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222</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592*287*381*6P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287*592*381*3P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592*490*381*6P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815*290*50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390*390*46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685*385*46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415*415*46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亚高效效过滤器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760*240*50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57</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w:t>
            </w:r>
          </w:p>
        </w:tc>
      </w:tr>
      <w:tr>
        <w:tblPrEx>
          <w:tblCellMar>
            <w:top w:w="0" w:type="dxa"/>
            <w:left w:w="108" w:type="dxa"/>
            <w:bottom w:w="0" w:type="dxa"/>
            <w:right w:w="108" w:type="dxa"/>
          </w:tblCellMar>
        </w:tblPrEx>
        <w:trPr>
          <w:trHeight w:val="430"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住院三楼产科手术室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425*470*10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760*240*50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315*240*50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390*390*46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370*405*381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r>
      <w:tr>
        <w:tblPrEx>
          <w:tblCellMar>
            <w:top w:w="0" w:type="dxa"/>
            <w:left w:w="108" w:type="dxa"/>
            <w:bottom w:w="0" w:type="dxa"/>
            <w:right w:w="108" w:type="dxa"/>
          </w:tblCellMar>
        </w:tblPrEx>
        <w:trPr>
          <w:trHeight w:val="95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35"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住院二楼检验科</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595*595*46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595*290*46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592*287*381*6P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13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355"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4"/>
                <w:szCs w:val="24"/>
                <w:lang w:bidi="ar"/>
              </w:rPr>
              <w:t>负一楼消毒供应中心</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592*287*46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287*592*381*3P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1135"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r>
      <w:tr>
        <w:tblPrEx>
          <w:tblCellMar>
            <w:top w:w="0" w:type="dxa"/>
            <w:left w:w="108" w:type="dxa"/>
            <w:bottom w:w="0" w:type="dxa"/>
            <w:right w:w="108" w:type="dxa"/>
          </w:tblCellMar>
        </w:tblPrEx>
        <w:trPr>
          <w:trHeight w:val="460"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门诊三楼介入科</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290*595*46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595*595*46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785*285*48</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340*290*96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585*295*96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290*290*96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330*330*96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287*592*381*3D</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592*490*381*6D</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830*410*90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520*520*90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1254*1125*69</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854*200*69</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00" w:hRule="atLeast"/>
        </w:trPr>
        <w:tc>
          <w:tcPr>
            <w:tcW w:w="8256" w:type="dxa"/>
            <w:gridSpan w:val="7"/>
            <w:tcBorders>
              <w:top w:val="single" w:color="auto"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妇科急诊手术室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385*385*46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315*240*50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415*415*46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592*490*381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592*490*381*6D</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592*592*381</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15"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4"/>
                <w:szCs w:val="24"/>
                <w:lang w:bidi="ar"/>
              </w:rPr>
              <w:t>儿童急诊手术室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415*415*46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385*385*46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315*240*46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592*490*381*6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9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0" w:hRule="atLeast"/>
        </w:trPr>
        <w:tc>
          <w:tcPr>
            <w:tcW w:w="8256" w:type="dxa"/>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r>
      <w:tr>
        <w:tblPrEx>
          <w:tblCellMar>
            <w:top w:w="0" w:type="dxa"/>
            <w:left w:w="108" w:type="dxa"/>
            <w:bottom w:w="0" w:type="dxa"/>
            <w:right w:w="108" w:type="dxa"/>
          </w:tblCellMar>
        </w:tblPrEx>
        <w:trPr>
          <w:trHeight w:val="360" w:hRule="atLeast"/>
        </w:trPr>
        <w:tc>
          <w:tcPr>
            <w:tcW w:w="7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门诊四楼日间手术室</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1000*400*46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112</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595*595*46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595*490*46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800*400*46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初效过滤器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595*290*46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47"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592*592*381*6P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98</w:t>
            </w: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592*287*381*6P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592*490*381*6P</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43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440*350*381*6</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390*390*50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415*415*50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63"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亚高效效过滤器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315*240*50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44</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197</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197</w:t>
            </w:r>
          </w:p>
        </w:tc>
      </w:tr>
      <w:tr>
        <w:tblPrEx>
          <w:tblCellMar>
            <w:top w:w="0" w:type="dxa"/>
            <w:left w:w="108" w:type="dxa"/>
            <w:bottom w:w="0" w:type="dxa"/>
            <w:right w:w="108" w:type="dxa"/>
          </w:tblCellMar>
        </w:tblPrEx>
        <w:trPr>
          <w:trHeight w:val="360"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610*305*292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44</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r>
        <w:tblPrEx>
          <w:tblCellMar>
            <w:top w:w="0" w:type="dxa"/>
            <w:left w:w="108" w:type="dxa"/>
            <w:bottom w:w="0" w:type="dxa"/>
            <w:right w:w="108" w:type="dxa"/>
          </w:tblCellMar>
        </w:tblPrEx>
        <w:trPr>
          <w:trHeight w:val="371" w:hRule="atLeast"/>
        </w:trPr>
        <w:tc>
          <w:tcPr>
            <w:tcW w:w="7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b/>
                <w:bCs/>
                <w:color w:val="000000"/>
                <w:sz w:val="28"/>
                <w:szCs w:val="28"/>
              </w:rPr>
            </w:pP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H14高效过滤器</w:t>
            </w:r>
          </w:p>
        </w:tc>
        <w:tc>
          <w:tcPr>
            <w:tcW w:w="22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484*484*90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109</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rPr>
            </w:pPr>
          </w:p>
        </w:tc>
      </w:tr>
    </w:tbl>
    <w:p>
      <w:pPr>
        <w:spacing w:line="360" w:lineRule="auto"/>
        <w:jc w:val="left"/>
        <w:rPr>
          <w:rFonts w:hint="eastAsia" w:ascii="宋体" w:hAnsi="宋体" w:eastAsia="宋体" w:cs="宋体"/>
          <w:b/>
          <w:bCs/>
          <w:szCs w:val="21"/>
        </w:rPr>
      </w:pPr>
    </w:p>
    <w:p>
      <w:pPr>
        <w:spacing w:line="360" w:lineRule="auto"/>
        <w:jc w:val="left"/>
        <w:rPr>
          <w:rFonts w:ascii="宋体" w:hAnsi="宋体" w:eastAsia="宋体" w:cs="宋体"/>
          <w:bCs/>
          <w:szCs w:val="21"/>
        </w:rPr>
      </w:pPr>
      <w:r>
        <w:rPr>
          <w:rFonts w:hint="eastAsia" w:ascii="宋体" w:hAnsi="宋体" w:eastAsia="宋体" w:cs="宋体"/>
          <w:bCs/>
          <w:szCs w:val="21"/>
        </w:rPr>
        <w:t>备注：以上空气过滤器说明：</w:t>
      </w:r>
    </w:p>
    <w:p>
      <w:pPr>
        <w:spacing w:line="360" w:lineRule="auto"/>
        <w:ind w:left="315" w:hanging="315" w:hangingChars="150"/>
        <w:jc w:val="left"/>
        <w:rPr>
          <w:rFonts w:hint="eastAsia" w:ascii="宋体" w:hAnsi="宋体" w:eastAsia="宋体" w:cs="宋体"/>
          <w:bCs/>
          <w:color w:val="auto"/>
          <w:szCs w:val="21"/>
          <w:lang w:val="en-US" w:eastAsia="zh-CN"/>
        </w:rPr>
      </w:pPr>
      <w:r>
        <w:rPr>
          <w:rFonts w:hint="eastAsia" w:ascii="宋体" w:hAnsi="宋体" w:eastAsia="宋体" w:cs="宋体"/>
          <w:bCs/>
          <w:szCs w:val="21"/>
        </w:rPr>
        <w:t>1. 新风洁净空调柜机、循环洁净空调柜机</w:t>
      </w:r>
      <w:r>
        <w:rPr>
          <w:rFonts w:hint="eastAsia" w:ascii="宋体" w:hAnsi="宋体" w:eastAsia="宋体" w:cs="宋体"/>
          <w:bCs/>
          <w:color w:val="auto"/>
          <w:szCs w:val="21"/>
        </w:rPr>
        <w:t>内（</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）折叠式</w:t>
      </w:r>
      <w:r>
        <w:rPr>
          <w:rFonts w:hint="eastAsia" w:ascii="宋体" w:hAnsi="宋体" w:eastAsia="宋体" w:cs="宋体"/>
          <w:bCs/>
          <w:color w:val="auto"/>
          <w:szCs w:val="21"/>
          <w:lang w:val="en-US" w:eastAsia="zh-CN"/>
        </w:rPr>
        <w:t>初效</w:t>
      </w:r>
      <w:r>
        <w:rPr>
          <w:rFonts w:hint="eastAsia" w:ascii="宋体" w:hAnsi="宋体" w:eastAsia="宋体" w:cs="宋体"/>
          <w:bCs/>
          <w:color w:val="auto"/>
          <w:szCs w:val="21"/>
        </w:rPr>
        <w:t>过滤器；（</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）袋式</w:t>
      </w:r>
      <w:r>
        <w:rPr>
          <w:rFonts w:hint="eastAsia" w:ascii="宋体" w:hAnsi="宋体" w:eastAsia="宋体" w:cs="宋体"/>
          <w:bCs/>
          <w:color w:val="auto"/>
          <w:szCs w:val="21"/>
          <w:lang w:val="en-US" w:eastAsia="zh-CN"/>
        </w:rPr>
        <w:t>中效</w:t>
      </w:r>
      <w:r>
        <w:rPr>
          <w:rFonts w:hint="eastAsia" w:ascii="宋体" w:hAnsi="宋体" w:eastAsia="宋体" w:cs="宋体"/>
          <w:bCs/>
          <w:color w:val="auto"/>
          <w:szCs w:val="21"/>
        </w:rPr>
        <w:t>中效过滤器；（</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）大风量亚高效过滤器</w:t>
      </w:r>
      <w:r>
        <w:rPr>
          <w:rFonts w:hint="eastAsia" w:ascii="宋体" w:hAnsi="宋体" w:eastAsia="宋体" w:cs="宋体"/>
          <w:bCs/>
          <w:color w:val="auto"/>
          <w:szCs w:val="21"/>
          <w:lang w:eastAsia="zh-CN"/>
        </w:rPr>
        <w:t>。</w:t>
      </w:r>
    </w:p>
    <w:p>
      <w:pPr>
        <w:spacing w:line="360" w:lineRule="auto"/>
        <w:ind w:left="315" w:hanging="315" w:hangingChars="150"/>
        <w:jc w:val="left"/>
        <w:rPr>
          <w:rFonts w:hint="eastAsia" w:ascii="宋体" w:hAnsi="宋体" w:eastAsia="宋体" w:cs="宋体"/>
          <w:bCs/>
          <w:color w:val="auto"/>
          <w:szCs w:val="21"/>
        </w:rPr>
      </w:pPr>
      <w:r>
        <w:rPr>
          <w:rFonts w:hint="eastAsia" w:ascii="宋体" w:hAnsi="宋体" w:eastAsia="宋体" w:cs="宋体"/>
          <w:bCs/>
          <w:color w:val="auto"/>
          <w:szCs w:val="21"/>
        </w:rPr>
        <w:t>2. 洁净空调系统末端</w:t>
      </w:r>
      <w:r>
        <w:rPr>
          <w:rFonts w:hint="eastAsia" w:ascii="宋体" w:hAnsi="宋体" w:eastAsia="宋体" w:cs="宋体"/>
          <w:bCs/>
          <w:color w:val="auto"/>
          <w:szCs w:val="21"/>
          <w:lang w:eastAsia="zh-CN"/>
        </w:rPr>
        <w:t>：</w:t>
      </w:r>
      <w:r>
        <w:rPr>
          <w:rFonts w:hint="eastAsia" w:ascii="宋体" w:hAnsi="宋体" w:eastAsia="宋体" w:cs="宋体"/>
          <w:bCs/>
          <w:color w:val="auto"/>
          <w:szCs w:val="21"/>
        </w:rPr>
        <w:t>大风量</w:t>
      </w:r>
      <w:r>
        <w:rPr>
          <w:rFonts w:hint="eastAsia" w:ascii="宋体" w:hAnsi="宋体" w:eastAsia="宋体" w:cs="宋体"/>
          <w:bCs/>
          <w:color w:val="auto"/>
          <w:szCs w:val="21"/>
          <w:lang w:val="en-US" w:eastAsia="zh-CN"/>
        </w:rPr>
        <w:t>高效</w:t>
      </w:r>
      <w:r>
        <w:rPr>
          <w:rFonts w:hint="eastAsia" w:ascii="宋体" w:hAnsi="宋体" w:eastAsia="宋体" w:cs="宋体"/>
          <w:bCs/>
          <w:color w:val="auto"/>
          <w:szCs w:val="21"/>
        </w:rPr>
        <w:t>过滤器；</w:t>
      </w:r>
    </w:p>
    <w:p>
      <w:pPr>
        <w:spacing w:line="360" w:lineRule="auto"/>
        <w:ind w:left="315" w:hanging="316" w:hangingChars="150"/>
        <w:jc w:val="left"/>
        <w:rPr>
          <w:rFonts w:ascii="宋体" w:hAnsi="宋体" w:eastAsia="宋体" w:cs="宋体"/>
          <w:b/>
          <w:bCs/>
          <w:szCs w:val="21"/>
        </w:rPr>
      </w:pPr>
      <w:r>
        <w:rPr>
          <w:rFonts w:hint="eastAsia" w:ascii="宋体" w:hAnsi="宋体" w:eastAsia="宋体" w:cs="宋体"/>
          <w:b/>
          <w:bCs/>
          <w:kern w:val="0"/>
          <w:szCs w:val="21"/>
        </w:rPr>
        <w:t>★3. 本项目涉及所有过滤器必须为同一品牌。</w:t>
      </w:r>
    </w:p>
    <w:p>
      <w:pPr>
        <w:spacing w:line="360" w:lineRule="auto"/>
        <w:ind w:left="315" w:hanging="315" w:hangingChars="150"/>
        <w:jc w:val="left"/>
        <w:rPr>
          <w:rFonts w:ascii="宋体" w:hAnsi="宋体" w:eastAsia="宋体" w:cs="宋体"/>
          <w:bCs/>
          <w:szCs w:val="21"/>
        </w:rPr>
      </w:pPr>
      <w:r>
        <w:rPr>
          <w:rFonts w:hint="eastAsia" w:ascii="宋体" w:hAnsi="宋体" w:eastAsia="宋体" w:cs="宋体"/>
          <w:bCs/>
          <w:szCs w:val="21"/>
        </w:rPr>
        <w:t>4. 空气过滤器数量为</w:t>
      </w:r>
      <w:r>
        <w:rPr>
          <w:rFonts w:hint="eastAsia" w:ascii="宋体" w:hAnsi="宋体" w:eastAsia="宋体" w:cs="宋体"/>
          <w:bCs/>
          <w:szCs w:val="21"/>
          <w:lang w:val="en-US" w:eastAsia="zh-CN"/>
        </w:rPr>
        <w:t>1</w:t>
      </w:r>
      <w:r>
        <w:rPr>
          <w:rFonts w:hint="eastAsia" w:ascii="宋体" w:hAnsi="宋体" w:eastAsia="宋体" w:cs="宋体"/>
          <w:bCs/>
          <w:szCs w:val="21"/>
        </w:rPr>
        <w:t>年合计的预估量，仅报价供参考之用，实际供货以采购人每次更换的空气过滤器数量为准，并按</w:t>
      </w:r>
      <w:r>
        <w:rPr>
          <w:rFonts w:hint="eastAsia" w:ascii="宋体" w:hAnsi="宋体" w:eastAsia="宋体" w:cs="宋体"/>
          <w:bCs/>
          <w:szCs w:val="21"/>
          <w:lang w:eastAsia="zh-CN"/>
        </w:rPr>
        <w:t>成交供应商</w:t>
      </w:r>
      <w:r>
        <w:rPr>
          <w:rFonts w:hint="eastAsia" w:ascii="宋体" w:hAnsi="宋体" w:eastAsia="宋体" w:cs="宋体"/>
          <w:bCs/>
          <w:szCs w:val="21"/>
        </w:rPr>
        <w:t>在</w:t>
      </w:r>
      <w:r>
        <w:rPr>
          <w:rFonts w:hint="eastAsia" w:ascii="宋体" w:hAnsi="宋体" w:eastAsia="宋体" w:cs="宋体"/>
          <w:bCs/>
          <w:szCs w:val="21"/>
          <w:lang w:eastAsia="zh-CN"/>
        </w:rPr>
        <w:t>响应</w:t>
      </w:r>
      <w:r>
        <w:rPr>
          <w:rFonts w:hint="eastAsia" w:ascii="宋体" w:hAnsi="宋体" w:eastAsia="宋体" w:cs="宋体"/>
          <w:bCs/>
          <w:szCs w:val="21"/>
        </w:rPr>
        <w:t>文件中承诺的单价执行，按实结算。</w:t>
      </w:r>
    </w:p>
    <w:p>
      <w:pPr>
        <w:spacing w:line="360" w:lineRule="auto"/>
        <w:rPr>
          <w:rFonts w:ascii="宋体" w:hAnsi="宋体" w:eastAsia="宋体" w:cs="宋体"/>
          <w:b/>
          <w:bCs/>
          <w:szCs w:val="21"/>
        </w:rPr>
      </w:pPr>
      <w:r>
        <w:rPr>
          <w:rFonts w:hint="eastAsia" w:ascii="宋体" w:hAnsi="宋体" w:eastAsia="宋体" w:cs="宋体"/>
          <w:b/>
          <w:bCs/>
          <w:szCs w:val="21"/>
        </w:rPr>
        <w:t>三、各规格空气过滤器技术参数及要求：</w:t>
      </w:r>
    </w:p>
    <w:p>
      <w:pPr>
        <w:spacing w:line="360" w:lineRule="auto"/>
        <w:ind w:left="422" w:hanging="420" w:hangingChars="200"/>
        <w:jc w:val="left"/>
        <w:rPr>
          <w:rFonts w:ascii="宋体" w:hAnsi="宋体" w:eastAsia="宋体" w:cs="宋体"/>
          <w:b/>
          <w:bCs/>
          <w:color w:val="auto"/>
          <w:szCs w:val="21"/>
        </w:rPr>
      </w:pPr>
      <w:r>
        <w:rPr>
          <w:rFonts w:hint="eastAsia" w:ascii="宋体" w:hAnsi="宋体" w:eastAsia="宋体" w:cs="宋体"/>
          <w:b w:val="0"/>
          <w:bCs w:val="0"/>
          <w:color w:val="auto"/>
          <w:szCs w:val="21"/>
          <w:lang w:val="en-US" w:eastAsia="zh-CN"/>
        </w:rPr>
        <w:t>1</w:t>
      </w:r>
      <w:r>
        <w:rPr>
          <w:rFonts w:hint="eastAsia" w:ascii="宋体" w:hAnsi="宋体" w:eastAsia="宋体" w:cs="宋体"/>
          <w:b w:val="0"/>
          <w:bCs w:val="0"/>
          <w:color w:val="auto"/>
          <w:szCs w:val="21"/>
        </w:rPr>
        <w:t>. 折叠式</w:t>
      </w:r>
      <w:r>
        <w:rPr>
          <w:rFonts w:hint="eastAsia" w:ascii="宋体" w:hAnsi="宋体" w:eastAsia="宋体" w:cs="宋体"/>
          <w:b w:val="0"/>
          <w:bCs w:val="0"/>
          <w:color w:val="auto"/>
          <w:szCs w:val="21"/>
          <w:lang w:val="en-US" w:eastAsia="zh-CN"/>
        </w:rPr>
        <w:t>初效</w:t>
      </w:r>
      <w:r>
        <w:rPr>
          <w:rFonts w:hint="eastAsia" w:ascii="宋体" w:hAnsi="宋体" w:eastAsia="宋体" w:cs="宋体"/>
          <w:b w:val="0"/>
          <w:bCs w:val="0"/>
          <w:color w:val="auto"/>
          <w:szCs w:val="21"/>
        </w:rPr>
        <w:t>过滤器</w:t>
      </w:r>
      <w:r>
        <w:rPr>
          <w:rFonts w:hint="eastAsia"/>
          <w:b w:val="0"/>
          <w:bCs w:val="0"/>
          <w:color w:val="auto"/>
        </w:rPr>
        <w:t>（</w:t>
      </w:r>
      <w:r>
        <w:rPr>
          <w:rFonts w:hint="eastAsia" w:asciiTheme="minorEastAsia" w:hAnsiTheme="minorEastAsia"/>
          <w:color w:val="auto"/>
        </w:rPr>
        <w:t>须提供产品彩页或厂家使用说明书或检验检测报告或出厂合格证等证明材料，加盖</w:t>
      </w:r>
      <w:r>
        <w:rPr>
          <w:rFonts w:hint="eastAsia" w:asciiTheme="minorEastAsia" w:hAnsiTheme="minorEastAsia"/>
          <w:color w:val="auto"/>
          <w:lang w:eastAsia="zh-CN"/>
        </w:rPr>
        <w:t>供应商</w:t>
      </w:r>
      <w:r>
        <w:rPr>
          <w:rFonts w:hint="eastAsia" w:asciiTheme="minorEastAsia" w:hAnsiTheme="minorEastAsia"/>
          <w:color w:val="auto"/>
        </w:rPr>
        <w:t>公章</w:t>
      </w:r>
      <w:r>
        <w:rPr>
          <w:rFonts w:hint="eastAsia"/>
          <w:color w:val="auto"/>
        </w:rPr>
        <w:t>）</w:t>
      </w:r>
      <w:r>
        <w:rPr>
          <w:rFonts w:hint="eastAsia" w:ascii="宋体" w:hAnsi="宋体" w:eastAsia="宋体" w:cs="宋体"/>
          <w:color w:val="auto"/>
          <w:szCs w:val="21"/>
        </w:rPr>
        <w:t>：</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.1 外框采用不低于1.0×46(或96)×18mm铝合金型材外框，四角铝合金连接码固定；</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.2 内框采用8号铁丝（表面需喷漆）子母架固定模式，滤料呈线形褶状结构（折距保证不大于50mm），具有很高的容尘量；</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.3 滤料与外框体压边处密封剂密封性良好，以防漏气；初效过滤器滤料采用优质聚酯合成纤维（需表面高温烫平处理，保证不掉纤维），滤料厚度：5mm，绿白无胶棉； 中效过滤器滤料采用聚丙烯超细熔喷纤维和涤纶混合材料（必须采用纯熔喷）。</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.4 效率等级：</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.4.1 初效过滤器：G4平均计重效率≥90% ，对粒径≥5.0um</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1</w:t>
      </w:r>
      <w:r>
        <w:rPr>
          <w:rFonts w:hint="eastAsia" w:ascii="宋体" w:hAnsi="宋体" w:eastAsia="宋体" w:cs="宋体"/>
          <w:bCs/>
          <w:color w:val="auto"/>
          <w:szCs w:val="21"/>
        </w:rPr>
        <w:t>.4.2 中效过滤器：F8效率≥90%，对粒径≥5.0um</w:t>
      </w:r>
    </w:p>
    <w:p>
      <w:pPr>
        <w:spacing w:line="360" w:lineRule="auto"/>
        <w:ind w:left="422" w:hanging="420" w:hangingChars="200"/>
        <w:jc w:val="left"/>
        <w:rPr>
          <w:rFonts w:ascii="宋体" w:hAnsi="宋体" w:eastAsia="宋体" w:cs="宋体"/>
          <w:color w:val="auto"/>
          <w:szCs w:val="21"/>
        </w:rPr>
      </w:pPr>
      <w:r>
        <w:rPr>
          <w:rFonts w:hint="eastAsia" w:ascii="宋体" w:hAnsi="宋体" w:eastAsia="宋体" w:cs="宋体"/>
          <w:b w:val="0"/>
          <w:bCs w:val="0"/>
          <w:color w:val="auto"/>
          <w:szCs w:val="21"/>
          <w:lang w:val="en-US" w:eastAsia="zh-CN"/>
        </w:rPr>
        <w:t>2</w:t>
      </w:r>
      <w:r>
        <w:rPr>
          <w:rFonts w:hint="eastAsia" w:ascii="宋体" w:hAnsi="宋体" w:eastAsia="宋体" w:cs="宋体"/>
          <w:b w:val="0"/>
          <w:bCs w:val="0"/>
          <w:color w:val="auto"/>
          <w:szCs w:val="21"/>
        </w:rPr>
        <w:t>. 袋式中效过滤器</w:t>
      </w:r>
      <w:r>
        <w:rPr>
          <w:rFonts w:hint="eastAsia"/>
          <w:b w:val="0"/>
          <w:bCs w:val="0"/>
          <w:color w:val="auto"/>
        </w:rPr>
        <w:t>（</w:t>
      </w:r>
      <w:r>
        <w:rPr>
          <w:rFonts w:hint="eastAsia" w:asciiTheme="minorEastAsia" w:hAnsiTheme="minorEastAsia"/>
          <w:b w:val="0"/>
          <w:bCs w:val="0"/>
          <w:color w:val="auto"/>
        </w:rPr>
        <w:t>须</w:t>
      </w:r>
      <w:r>
        <w:rPr>
          <w:rFonts w:hint="eastAsia" w:asciiTheme="minorEastAsia" w:hAnsiTheme="minorEastAsia"/>
          <w:color w:val="auto"/>
        </w:rPr>
        <w:t>提供产品彩页或厂家使用说明书或检验检测报告或出厂合格证等证明材料，加盖</w:t>
      </w:r>
      <w:r>
        <w:rPr>
          <w:rFonts w:hint="eastAsia" w:asciiTheme="minorEastAsia" w:hAnsiTheme="minorEastAsia"/>
          <w:color w:val="auto"/>
          <w:lang w:eastAsia="zh-CN"/>
        </w:rPr>
        <w:t>供应商</w:t>
      </w:r>
      <w:r>
        <w:rPr>
          <w:rFonts w:hint="eastAsia" w:asciiTheme="minorEastAsia" w:hAnsiTheme="minorEastAsia"/>
          <w:color w:val="auto"/>
        </w:rPr>
        <w:t>公章</w:t>
      </w:r>
      <w:r>
        <w:rPr>
          <w:rFonts w:hint="eastAsia"/>
          <w:color w:val="auto"/>
        </w:rPr>
        <w:t>）</w:t>
      </w:r>
      <w:r>
        <w:rPr>
          <w:rFonts w:hint="eastAsia" w:ascii="宋体" w:hAnsi="宋体" w:eastAsia="宋体" w:cs="宋体"/>
          <w:color w:val="auto"/>
          <w:szCs w:val="21"/>
        </w:rPr>
        <w:t>：</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.1 外框采用1.0×21×18mm铝合金型材外框，四角铝合金连接码固定；</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.2 铝合金压条、内框采用镀锌板折叠支撑架整体固定模式；</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.3 滤料与外框体压边处密封剂及铝合金压条密封性良好，以防漏气；</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 xml:space="preserve">.4 滤料采用A型成品滤袋，滤料结构：PP＋针棉＋熔喷，滤料厚度：7mm； </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.5 效率等级：F8效率≥90%，对粒径≥5.0um</w:t>
      </w:r>
    </w:p>
    <w:p>
      <w:pPr>
        <w:spacing w:line="360" w:lineRule="auto"/>
        <w:ind w:left="420" w:hanging="420" w:hangingChars="200"/>
        <w:jc w:val="left"/>
        <w:rPr>
          <w:rFonts w:ascii="宋体" w:hAnsi="宋体" w:eastAsia="宋体" w:cs="宋体"/>
          <w:color w:val="auto"/>
          <w:szCs w:val="21"/>
        </w:rPr>
      </w:pPr>
      <w:r>
        <w:rPr>
          <w:rFonts w:hint="eastAsia" w:ascii="宋体" w:hAnsi="宋体" w:eastAsia="宋体" w:cs="宋体"/>
          <w:b w:val="0"/>
          <w:bCs w:val="0"/>
          <w:color w:val="auto"/>
          <w:szCs w:val="21"/>
          <w:lang w:val="en-US" w:eastAsia="zh-CN"/>
        </w:rPr>
        <w:t>3</w:t>
      </w:r>
      <w:r>
        <w:rPr>
          <w:rFonts w:hint="eastAsia" w:ascii="宋体" w:hAnsi="宋体" w:eastAsia="宋体" w:cs="宋体"/>
          <w:b w:val="0"/>
          <w:bCs w:val="0"/>
          <w:color w:val="auto"/>
          <w:szCs w:val="21"/>
        </w:rPr>
        <w:t xml:space="preserve">. </w:t>
      </w:r>
      <w:r>
        <w:rPr>
          <w:rFonts w:hint="eastAsia" w:ascii="宋体" w:hAnsi="宋体" w:eastAsia="宋体" w:cs="宋体"/>
          <w:b w:val="0"/>
          <w:bCs w:val="0"/>
          <w:color w:val="auto"/>
          <w:szCs w:val="21"/>
          <w:lang w:val="en-US" w:eastAsia="zh-CN"/>
        </w:rPr>
        <w:t>大风量</w:t>
      </w:r>
      <w:r>
        <w:rPr>
          <w:rFonts w:hint="eastAsia" w:ascii="宋体" w:hAnsi="宋体" w:eastAsia="宋体" w:cs="宋体"/>
          <w:b w:val="0"/>
          <w:bCs w:val="0"/>
          <w:color w:val="auto"/>
          <w:szCs w:val="21"/>
        </w:rPr>
        <w:t>亚高效过滤器</w:t>
      </w:r>
      <w:r>
        <w:rPr>
          <w:rFonts w:hint="eastAsia"/>
          <w:b w:val="0"/>
          <w:bCs w:val="0"/>
          <w:color w:val="auto"/>
        </w:rPr>
        <w:t>（</w:t>
      </w:r>
      <w:r>
        <w:rPr>
          <w:rFonts w:hint="eastAsia" w:asciiTheme="minorEastAsia" w:hAnsiTheme="minorEastAsia"/>
          <w:b w:val="0"/>
          <w:bCs w:val="0"/>
          <w:color w:val="auto"/>
        </w:rPr>
        <w:t>须</w:t>
      </w:r>
      <w:r>
        <w:rPr>
          <w:rFonts w:hint="eastAsia" w:asciiTheme="minorEastAsia" w:hAnsiTheme="minorEastAsia"/>
          <w:color w:val="auto"/>
        </w:rPr>
        <w:t>提供厂家使用说明书或出厂合格证等证明材料，加盖</w:t>
      </w:r>
      <w:r>
        <w:rPr>
          <w:rFonts w:hint="eastAsia" w:asciiTheme="minorEastAsia" w:hAnsiTheme="minorEastAsia"/>
          <w:color w:val="auto"/>
          <w:lang w:eastAsia="zh-CN"/>
        </w:rPr>
        <w:t>供应商</w:t>
      </w:r>
      <w:r>
        <w:rPr>
          <w:rFonts w:hint="eastAsia" w:asciiTheme="minorEastAsia" w:hAnsiTheme="minorEastAsia"/>
          <w:color w:val="auto"/>
        </w:rPr>
        <w:t>公章</w:t>
      </w:r>
      <w:r>
        <w:rPr>
          <w:rFonts w:hint="eastAsia"/>
          <w:color w:val="auto"/>
        </w:rPr>
        <w:t>）</w:t>
      </w:r>
      <w:r>
        <w:rPr>
          <w:rFonts w:hint="eastAsia" w:ascii="宋体" w:hAnsi="宋体" w:eastAsia="宋体" w:cs="宋体"/>
          <w:color w:val="auto"/>
          <w:szCs w:val="21"/>
        </w:rPr>
        <w:t>：</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.1 HV超细、防潮耐高湿、耐火型玻璃纤维滤纸；</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.2 V型结构、无隔板滤芯、四隔八面 ，镀锌钢板外框；</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.3 密封胶采用耐高温聚氨酯密封；</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3</w:t>
      </w:r>
      <w:r>
        <w:rPr>
          <w:rFonts w:hint="eastAsia" w:ascii="宋体" w:hAnsi="宋体" w:eastAsia="宋体" w:cs="宋体"/>
          <w:bCs/>
          <w:color w:val="auto"/>
          <w:szCs w:val="21"/>
        </w:rPr>
        <w:t>.4 效率等级：H12效率≥99.5% ，对粒径≥5.0um</w:t>
      </w:r>
    </w:p>
    <w:p>
      <w:pPr>
        <w:spacing w:line="360" w:lineRule="auto"/>
        <w:ind w:left="422" w:hanging="420" w:hangingChars="200"/>
        <w:jc w:val="left"/>
        <w:rPr>
          <w:rFonts w:ascii="宋体" w:hAnsi="宋体" w:eastAsia="宋体" w:cs="宋体"/>
          <w:b w:val="0"/>
          <w:bCs w:val="0"/>
          <w:color w:val="auto"/>
          <w:szCs w:val="21"/>
        </w:rPr>
      </w:pP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 大风量高效过滤器</w:t>
      </w:r>
      <w:r>
        <w:rPr>
          <w:rFonts w:hint="eastAsia"/>
          <w:b w:val="0"/>
          <w:bCs w:val="0"/>
          <w:color w:val="auto"/>
        </w:rPr>
        <w:t>（</w:t>
      </w:r>
      <w:r>
        <w:rPr>
          <w:rFonts w:hint="eastAsia" w:asciiTheme="minorEastAsia" w:hAnsiTheme="minorEastAsia"/>
          <w:b w:val="0"/>
          <w:bCs w:val="0"/>
          <w:color w:val="auto"/>
        </w:rPr>
        <w:t>须提供厂家使用说明书或出厂合格证等证明材料，加盖</w:t>
      </w:r>
      <w:r>
        <w:rPr>
          <w:rFonts w:hint="eastAsia" w:asciiTheme="minorEastAsia" w:hAnsiTheme="minorEastAsia"/>
          <w:b w:val="0"/>
          <w:bCs w:val="0"/>
          <w:color w:val="auto"/>
          <w:lang w:eastAsia="zh-CN"/>
        </w:rPr>
        <w:t>供应商</w:t>
      </w:r>
      <w:r>
        <w:rPr>
          <w:rFonts w:hint="eastAsia" w:asciiTheme="minorEastAsia" w:hAnsiTheme="minorEastAsia"/>
          <w:b w:val="0"/>
          <w:bCs w:val="0"/>
          <w:color w:val="auto"/>
        </w:rPr>
        <w:t>公章</w:t>
      </w:r>
      <w:r>
        <w:rPr>
          <w:rFonts w:hint="eastAsia"/>
          <w:b w:val="0"/>
          <w:bCs w:val="0"/>
          <w:color w:val="auto"/>
        </w:rPr>
        <w:t>）</w:t>
      </w:r>
      <w:r>
        <w:rPr>
          <w:rFonts w:hint="eastAsia" w:ascii="宋体" w:hAnsi="宋体" w:eastAsia="宋体" w:cs="宋体"/>
          <w:b w:val="0"/>
          <w:bCs w:val="0"/>
          <w:color w:val="auto"/>
          <w:szCs w:val="21"/>
        </w:rPr>
        <w:t>:</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 w:val="0"/>
          <w:bCs w:val="0"/>
          <w:color w:val="auto"/>
          <w:szCs w:val="21"/>
          <w:lang w:val="en-US" w:eastAsia="zh-CN"/>
        </w:rPr>
        <w:t>4</w:t>
      </w:r>
      <w:r>
        <w:rPr>
          <w:rFonts w:hint="eastAsia" w:ascii="宋体" w:hAnsi="宋体" w:eastAsia="宋体" w:cs="宋体"/>
          <w:b w:val="0"/>
          <w:bCs w:val="0"/>
          <w:color w:val="auto"/>
          <w:szCs w:val="21"/>
        </w:rPr>
        <w:t>.1 HV超细、防潮耐高湿、耐</w:t>
      </w:r>
      <w:r>
        <w:rPr>
          <w:rFonts w:hint="eastAsia" w:ascii="宋体" w:hAnsi="宋体" w:eastAsia="宋体" w:cs="宋体"/>
          <w:bCs/>
          <w:color w:val="auto"/>
          <w:szCs w:val="21"/>
        </w:rPr>
        <w:t>火型玻璃纤维滤纸；</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.2 V型结构、无隔板滤芯、五隔十面 ，镀锌钢板外框；</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.3 密封胶采用耐高温聚氨酯密封；</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lang w:val="en-US" w:eastAsia="zh-CN"/>
        </w:rPr>
        <w:t>4</w:t>
      </w:r>
      <w:r>
        <w:rPr>
          <w:rFonts w:hint="eastAsia" w:ascii="宋体" w:hAnsi="宋体" w:eastAsia="宋体" w:cs="宋体"/>
          <w:bCs/>
          <w:color w:val="auto"/>
          <w:szCs w:val="21"/>
        </w:rPr>
        <w:t>.4 效率等级：H14效率≥99.995%，对粒径≥0.3um</w:t>
      </w:r>
    </w:p>
    <w:p>
      <w:pPr>
        <w:spacing w:line="360" w:lineRule="auto"/>
        <w:ind w:left="422" w:hanging="422" w:hangingChars="200"/>
        <w:jc w:val="left"/>
        <w:rPr>
          <w:rFonts w:ascii="宋体" w:hAnsi="宋体" w:eastAsia="宋体" w:cs="宋体"/>
          <w:b/>
          <w:bCs/>
          <w:szCs w:val="21"/>
        </w:rPr>
      </w:pPr>
      <w:r>
        <w:rPr>
          <w:rFonts w:hint="eastAsia" w:ascii="宋体" w:hAnsi="宋体" w:eastAsia="宋体" w:cs="宋体"/>
          <w:b/>
          <w:bCs/>
          <w:szCs w:val="21"/>
        </w:rPr>
        <w:t>四、总体要求</w:t>
      </w:r>
    </w:p>
    <w:p>
      <w:pPr>
        <w:spacing w:line="360" w:lineRule="auto"/>
        <w:ind w:left="422" w:hanging="422" w:hangingChars="200"/>
        <w:jc w:val="left"/>
        <w:rPr>
          <w:rFonts w:ascii="宋体" w:hAnsi="宋体" w:eastAsia="宋体" w:cs="宋体"/>
          <w:b/>
          <w:bCs/>
          <w:szCs w:val="21"/>
        </w:rPr>
      </w:pPr>
      <w:r>
        <w:rPr>
          <w:rFonts w:hint="eastAsia" w:ascii="宋体" w:hAnsi="宋体" w:eastAsia="宋体" w:cs="宋体"/>
          <w:b/>
          <w:bCs/>
          <w:szCs w:val="21"/>
        </w:rPr>
        <w:t>(一)</w:t>
      </w:r>
      <w:r>
        <w:rPr>
          <w:rFonts w:hint="eastAsia" w:ascii="宋体" w:hAnsi="宋体" w:eastAsia="宋体" w:cs="宋体"/>
          <w:b/>
          <w:bCs/>
          <w:szCs w:val="21"/>
          <w:lang w:eastAsia="zh-CN"/>
        </w:rPr>
        <w:t>供应商</w:t>
      </w:r>
      <w:r>
        <w:rPr>
          <w:rFonts w:hint="eastAsia" w:ascii="宋体" w:hAnsi="宋体" w:eastAsia="宋体" w:cs="宋体"/>
          <w:b/>
          <w:bCs/>
          <w:szCs w:val="21"/>
        </w:rPr>
        <w:t>的相关要求</w:t>
      </w:r>
    </w:p>
    <w:p>
      <w:pPr>
        <w:spacing w:line="360" w:lineRule="auto"/>
        <w:ind w:firstLine="420" w:firstLineChars="200"/>
        <w:jc w:val="left"/>
        <w:rPr>
          <w:rFonts w:ascii="宋体" w:hAnsi="宋体" w:eastAsia="宋体" w:cs="宋体"/>
          <w:bCs/>
          <w:szCs w:val="21"/>
        </w:rPr>
      </w:pPr>
      <w:r>
        <w:rPr>
          <w:rFonts w:hint="eastAsia" w:ascii="宋体" w:hAnsi="宋体" w:eastAsia="宋体" w:cs="宋体"/>
          <w:bCs/>
          <w:szCs w:val="21"/>
          <w:lang w:eastAsia="zh-CN"/>
        </w:rPr>
        <w:t>供应商</w:t>
      </w:r>
      <w:r>
        <w:rPr>
          <w:rFonts w:hint="eastAsia" w:ascii="宋体" w:hAnsi="宋体" w:eastAsia="宋体" w:cs="宋体"/>
          <w:bCs/>
          <w:szCs w:val="21"/>
        </w:rPr>
        <w:t>须具备空气过滤器的运输、安装更换能力；须具备针对空气过滤器产品有检漏、检测效率及阻力的硬件设备如尘埃粒子计数器、风速仪、压差表等，提供检测设备彩页及设备的购买、租赁证明文件如购买合同、租赁合同等。</w:t>
      </w:r>
    </w:p>
    <w:p>
      <w:pPr>
        <w:spacing w:line="360" w:lineRule="auto"/>
        <w:ind w:left="422" w:hanging="422" w:hangingChars="200"/>
        <w:jc w:val="left"/>
        <w:rPr>
          <w:rFonts w:ascii="宋体" w:hAnsi="宋体" w:eastAsia="宋体" w:cs="宋体"/>
          <w:b/>
          <w:bCs/>
          <w:szCs w:val="21"/>
        </w:rPr>
      </w:pPr>
      <w:r>
        <w:rPr>
          <w:rFonts w:hint="eastAsia" w:ascii="宋体" w:hAnsi="宋体" w:eastAsia="宋体" w:cs="宋体"/>
          <w:b/>
          <w:bCs/>
          <w:szCs w:val="21"/>
        </w:rPr>
        <w:t>(二)服务要求</w:t>
      </w:r>
    </w:p>
    <w:p>
      <w:pPr>
        <w:spacing w:line="360" w:lineRule="auto"/>
        <w:ind w:left="422" w:hanging="422" w:hangingChars="200"/>
        <w:jc w:val="left"/>
        <w:rPr>
          <w:rFonts w:ascii="宋体" w:hAnsi="宋体" w:eastAsia="宋体" w:cs="宋体"/>
          <w:b/>
          <w:bCs/>
          <w:szCs w:val="21"/>
        </w:rPr>
      </w:pPr>
      <w:r>
        <w:rPr>
          <w:rFonts w:hint="eastAsia" w:ascii="宋体" w:hAnsi="宋体" w:eastAsia="宋体" w:cs="宋体"/>
          <w:b/>
          <w:bCs/>
          <w:szCs w:val="21"/>
        </w:rPr>
        <w:t>1. 过滤器更换周期：</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1.1 新风空调柜机</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1.1.1 初效过滤器：更换周期为</w:t>
      </w:r>
      <w:r>
        <w:rPr>
          <w:rFonts w:hint="eastAsia" w:ascii="宋体" w:hAnsi="宋体" w:eastAsia="宋体" w:cs="宋体"/>
          <w:bCs/>
          <w:szCs w:val="21"/>
          <w:lang w:val="en-US" w:eastAsia="zh-CN"/>
        </w:rPr>
        <w:t>1</w:t>
      </w:r>
      <w:r>
        <w:rPr>
          <w:rFonts w:hint="eastAsia" w:ascii="宋体" w:hAnsi="宋体" w:eastAsia="宋体" w:cs="宋体"/>
          <w:bCs/>
          <w:szCs w:val="21"/>
        </w:rPr>
        <w:t xml:space="preserve">次/月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1.1.2 中效袋式过滤器：更换周期为</w:t>
      </w:r>
      <w:r>
        <w:rPr>
          <w:rFonts w:hint="eastAsia" w:ascii="宋体" w:hAnsi="宋体" w:eastAsia="宋体" w:cs="宋体"/>
          <w:bCs/>
          <w:szCs w:val="21"/>
          <w:lang w:val="en-US" w:eastAsia="zh-CN"/>
        </w:rPr>
        <w:t>1</w:t>
      </w:r>
      <w:r>
        <w:rPr>
          <w:rFonts w:hint="eastAsia" w:ascii="宋体" w:hAnsi="宋体" w:eastAsia="宋体" w:cs="宋体"/>
          <w:bCs/>
          <w:szCs w:val="21"/>
        </w:rPr>
        <w:t>次/</w:t>
      </w:r>
      <w:r>
        <w:rPr>
          <w:rFonts w:hint="eastAsia" w:ascii="宋体" w:hAnsi="宋体" w:eastAsia="宋体" w:cs="宋体"/>
          <w:bCs/>
          <w:szCs w:val="21"/>
          <w:lang w:val="en-US" w:eastAsia="zh-CN"/>
        </w:rPr>
        <w:t>6</w:t>
      </w:r>
      <w:r>
        <w:rPr>
          <w:rFonts w:hint="eastAsia" w:ascii="宋体" w:hAnsi="宋体" w:eastAsia="宋体" w:cs="宋体"/>
          <w:bCs/>
          <w:szCs w:val="21"/>
        </w:rPr>
        <w:t xml:space="preserve">个月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1.1.3 亚高效过滤器：更换周期为1次/</w:t>
      </w:r>
      <w:r>
        <w:rPr>
          <w:rFonts w:hint="eastAsia" w:ascii="宋体" w:hAnsi="宋体" w:eastAsia="宋体" w:cs="宋体"/>
          <w:bCs/>
          <w:szCs w:val="21"/>
          <w:lang w:val="en-US" w:eastAsia="zh-CN"/>
        </w:rPr>
        <w:t>12</w:t>
      </w:r>
      <w:r>
        <w:rPr>
          <w:rFonts w:hint="eastAsia" w:ascii="宋体" w:hAnsi="宋体" w:eastAsia="宋体" w:cs="宋体"/>
          <w:bCs/>
          <w:szCs w:val="21"/>
        </w:rPr>
        <w:t xml:space="preserve">个月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1.2 循环空调柜机</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 xml:space="preserve">1.2.1 初效过滤器：更换周期为1次/3个月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1.2.2中效袋式过滤器：更换周期为1次/</w:t>
      </w:r>
      <w:r>
        <w:rPr>
          <w:rFonts w:hint="eastAsia" w:ascii="宋体" w:hAnsi="宋体" w:eastAsia="宋体" w:cs="宋体"/>
          <w:bCs/>
          <w:szCs w:val="21"/>
          <w:lang w:val="en-US" w:eastAsia="zh-CN"/>
        </w:rPr>
        <w:t>6</w:t>
      </w:r>
      <w:r>
        <w:rPr>
          <w:rFonts w:hint="eastAsia" w:ascii="宋体" w:hAnsi="宋体" w:eastAsia="宋体" w:cs="宋体"/>
          <w:bCs/>
          <w:szCs w:val="21"/>
        </w:rPr>
        <w:t xml:space="preserve">个月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1.2.3 亚高效过滤器：更换周期为1次/</w:t>
      </w:r>
      <w:r>
        <w:rPr>
          <w:rFonts w:hint="eastAsia" w:ascii="宋体" w:hAnsi="宋体" w:eastAsia="宋体" w:cs="宋体"/>
          <w:bCs/>
          <w:szCs w:val="21"/>
          <w:lang w:val="en-US" w:eastAsia="zh-CN"/>
        </w:rPr>
        <w:t>12</w:t>
      </w:r>
      <w:r>
        <w:rPr>
          <w:rFonts w:hint="eastAsia" w:ascii="宋体" w:hAnsi="宋体" w:eastAsia="宋体" w:cs="宋体"/>
          <w:bCs/>
          <w:szCs w:val="21"/>
        </w:rPr>
        <w:t xml:space="preserve">个月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1.3 中效回风口的过滤器：更换周期为1次/</w:t>
      </w:r>
      <w:r>
        <w:rPr>
          <w:rFonts w:hint="eastAsia" w:ascii="宋体" w:hAnsi="宋体" w:eastAsia="宋体" w:cs="宋体"/>
          <w:bCs/>
          <w:szCs w:val="21"/>
          <w:lang w:val="en-US" w:eastAsia="zh-CN"/>
        </w:rPr>
        <w:t>6</w:t>
      </w:r>
      <w:r>
        <w:rPr>
          <w:rFonts w:hint="eastAsia" w:ascii="宋体" w:hAnsi="宋体" w:eastAsia="宋体" w:cs="宋体"/>
          <w:bCs/>
          <w:szCs w:val="21"/>
        </w:rPr>
        <w:t xml:space="preserve">个月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val="en-US" w:eastAsia="zh-CN"/>
        </w:rPr>
        <w:t>4</w:t>
      </w:r>
      <w:r>
        <w:rPr>
          <w:rFonts w:hint="eastAsia" w:ascii="宋体" w:hAnsi="宋体" w:eastAsia="宋体" w:cs="宋体"/>
          <w:bCs/>
          <w:szCs w:val="21"/>
        </w:rPr>
        <w:t xml:space="preserve"> 高效过滤器 </w:t>
      </w:r>
      <w:r>
        <w:rPr>
          <w:rFonts w:hint="eastAsia" w:ascii="宋体" w:hAnsi="宋体" w:eastAsia="宋体" w:cs="宋体"/>
          <w:bCs/>
          <w:szCs w:val="21"/>
          <w:lang w:eastAsia="zh-CN"/>
        </w:rPr>
        <w:t>：</w:t>
      </w:r>
      <w:r>
        <w:rPr>
          <w:rFonts w:hint="eastAsia" w:ascii="宋体" w:hAnsi="宋体" w:eastAsia="宋体" w:cs="宋体"/>
          <w:bCs/>
          <w:szCs w:val="21"/>
        </w:rPr>
        <w:t xml:space="preserve"> 通用情况下更换周期为12个月（一年），不同科室在周期内可根据时间情况需要进行更换。</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val="en-US" w:eastAsia="zh-CN"/>
        </w:rPr>
        <w:t>5</w:t>
      </w:r>
      <w:r>
        <w:rPr>
          <w:rFonts w:hint="eastAsia" w:ascii="宋体" w:hAnsi="宋体" w:eastAsia="宋体" w:cs="宋体"/>
          <w:bCs/>
          <w:szCs w:val="21"/>
        </w:rPr>
        <w:t>排风系统的过滤器</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val="en-US" w:eastAsia="zh-CN"/>
        </w:rPr>
        <w:t>5</w:t>
      </w:r>
      <w:r>
        <w:rPr>
          <w:rFonts w:hint="eastAsia" w:ascii="宋体" w:hAnsi="宋体" w:eastAsia="宋体" w:cs="宋体"/>
          <w:bCs/>
          <w:szCs w:val="21"/>
        </w:rPr>
        <w:t xml:space="preserve">.1 初效过滤器：更换周期为1次/3个月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val="en-US" w:eastAsia="zh-CN"/>
        </w:rPr>
        <w:t>5</w:t>
      </w:r>
      <w:r>
        <w:rPr>
          <w:rFonts w:hint="eastAsia" w:ascii="宋体" w:hAnsi="宋体" w:eastAsia="宋体" w:cs="宋体"/>
          <w:bCs/>
          <w:szCs w:val="21"/>
        </w:rPr>
        <w:t>.2 中效袋式过滤器：更换周期为1次/</w:t>
      </w:r>
      <w:r>
        <w:rPr>
          <w:rFonts w:hint="eastAsia" w:ascii="宋体" w:hAnsi="宋体" w:eastAsia="宋体" w:cs="宋体"/>
          <w:bCs/>
          <w:szCs w:val="21"/>
          <w:lang w:val="en-US" w:eastAsia="zh-CN"/>
        </w:rPr>
        <w:t>6</w:t>
      </w:r>
      <w:r>
        <w:rPr>
          <w:rFonts w:hint="eastAsia" w:ascii="宋体" w:hAnsi="宋体" w:eastAsia="宋体" w:cs="宋体"/>
          <w:bCs/>
          <w:szCs w:val="21"/>
        </w:rPr>
        <w:t xml:space="preserve">个月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1.</w:t>
      </w:r>
      <w:r>
        <w:rPr>
          <w:rFonts w:hint="eastAsia" w:ascii="宋体" w:hAnsi="宋体" w:eastAsia="宋体" w:cs="宋体"/>
          <w:bCs/>
          <w:szCs w:val="21"/>
          <w:lang w:val="en-US" w:eastAsia="zh-CN"/>
        </w:rPr>
        <w:t>5</w:t>
      </w:r>
      <w:r>
        <w:rPr>
          <w:rFonts w:hint="eastAsia" w:ascii="宋体" w:hAnsi="宋体" w:eastAsia="宋体" w:cs="宋体"/>
          <w:bCs/>
          <w:szCs w:val="21"/>
        </w:rPr>
        <w:t>.3 亚高效过滤器： 更换周期为1次/</w:t>
      </w:r>
      <w:r>
        <w:rPr>
          <w:rFonts w:hint="eastAsia" w:ascii="宋体" w:hAnsi="宋体" w:eastAsia="宋体" w:cs="宋体"/>
          <w:bCs/>
          <w:szCs w:val="21"/>
          <w:lang w:val="en-US" w:eastAsia="zh-CN"/>
        </w:rPr>
        <w:t>12</w:t>
      </w:r>
      <w:r>
        <w:rPr>
          <w:rFonts w:hint="eastAsia" w:ascii="宋体" w:hAnsi="宋体" w:eastAsia="宋体" w:cs="宋体"/>
          <w:bCs/>
          <w:szCs w:val="21"/>
        </w:rPr>
        <w:t xml:space="preserve">个月   </w:t>
      </w:r>
    </w:p>
    <w:p>
      <w:pPr>
        <w:spacing w:line="360" w:lineRule="auto"/>
        <w:ind w:left="422" w:hanging="422" w:hangingChars="200"/>
        <w:jc w:val="left"/>
        <w:rPr>
          <w:rFonts w:ascii="宋体" w:hAnsi="宋体" w:eastAsia="宋体" w:cs="宋体"/>
          <w:b/>
          <w:bCs/>
          <w:szCs w:val="21"/>
        </w:rPr>
      </w:pPr>
      <w:r>
        <w:rPr>
          <w:rFonts w:hint="eastAsia" w:ascii="宋体" w:hAnsi="宋体" w:eastAsia="宋体" w:cs="宋体"/>
          <w:b/>
          <w:bCs/>
          <w:szCs w:val="21"/>
        </w:rPr>
        <w:t>2. 安装、调试：</w:t>
      </w:r>
    </w:p>
    <w:p>
      <w:pPr>
        <w:snapToGrid w:val="0"/>
        <w:spacing w:line="360" w:lineRule="auto"/>
        <w:ind w:left="630" w:hanging="632" w:hangingChars="300"/>
        <w:jc w:val="left"/>
        <w:rPr>
          <w:rFonts w:ascii="宋体" w:hAnsi="宋体" w:eastAsia="宋体" w:cs="宋体"/>
          <w:b/>
          <w:bCs/>
          <w:szCs w:val="21"/>
        </w:rPr>
      </w:pPr>
      <w:r>
        <w:rPr>
          <w:rFonts w:hint="eastAsia" w:ascii="宋体" w:hAnsi="宋体" w:eastAsia="宋体" w:cs="宋体"/>
          <w:b/>
          <w:bCs/>
          <w:kern w:val="0"/>
          <w:szCs w:val="21"/>
        </w:rPr>
        <w:t>★</w:t>
      </w:r>
      <w:r>
        <w:rPr>
          <w:rFonts w:hint="eastAsia" w:ascii="宋体" w:hAnsi="宋体" w:eastAsia="宋体" w:cs="宋体"/>
          <w:b/>
          <w:bCs/>
          <w:szCs w:val="21"/>
        </w:rPr>
        <w:t>2.1 根据医院规定的过滤器更换周期，要求</w:t>
      </w:r>
      <w:r>
        <w:rPr>
          <w:rFonts w:hint="eastAsia" w:ascii="宋体" w:hAnsi="宋体" w:eastAsia="宋体" w:cs="宋体"/>
          <w:b/>
          <w:bCs/>
          <w:szCs w:val="21"/>
          <w:lang w:eastAsia="zh-CN"/>
        </w:rPr>
        <w:t>供应商</w:t>
      </w:r>
      <w:r>
        <w:rPr>
          <w:rFonts w:hint="eastAsia" w:ascii="宋体" w:hAnsi="宋体" w:eastAsia="宋体" w:cs="宋体"/>
          <w:b/>
          <w:bCs/>
          <w:szCs w:val="21"/>
        </w:rPr>
        <w:t>提前做好过滤器更换计划和备货，该计划提交采购人审核后实施。遇突发情况如收治传染病病人，要求</w:t>
      </w:r>
      <w:r>
        <w:rPr>
          <w:rFonts w:hint="eastAsia" w:ascii="宋体" w:hAnsi="宋体" w:eastAsia="宋体" w:cs="宋体"/>
          <w:b/>
          <w:bCs/>
          <w:szCs w:val="21"/>
          <w:lang w:eastAsia="zh-CN"/>
        </w:rPr>
        <w:t>供应商</w:t>
      </w:r>
      <w:r>
        <w:rPr>
          <w:rFonts w:hint="eastAsia" w:ascii="宋体" w:hAnsi="宋体" w:eastAsia="宋体" w:cs="宋体"/>
          <w:b/>
          <w:bCs/>
          <w:szCs w:val="21"/>
        </w:rPr>
        <w:t xml:space="preserve">收到通知后的24小时以内完成更换（提供承诺函，格式自拟）。 </w:t>
      </w:r>
    </w:p>
    <w:p>
      <w:pPr>
        <w:snapToGrid w:val="0"/>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2.2 由于部分洁净科室工作的特殊性，过滤器安装或检测工作须提前3-5天与相关科室沟通协调安装或检测的具体时间。</w:t>
      </w:r>
    </w:p>
    <w:p>
      <w:pPr>
        <w:spacing w:line="360" w:lineRule="auto"/>
        <w:ind w:left="420" w:hanging="420" w:hangingChars="200"/>
        <w:jc w:val="left"/>
        <w:rPr>
          <w:rFonts w:ascii="宋体" w:hAnsi="宋体" w:eastAsia="宋体" w:cs="宋体"/>
          <w:bCs/>
          <w:strike/>
          <w:szCs w:val="21"/>
        </w:rPr>
      </w:pPr>
      <w:r>
        <w:rPr>
          <w:rFonts w:hint="eastAsia" w:ascii="宋体" w:hAnsi="宋体" w:eastAsia="宋体" w:cs="宋体"/>
          <w:bCs/>
          <w:szCs w:val="21"/>
        </w:rPr>
        <w:t>2.3 所有进入洁净区参与现场施工人员，应佩戴无尘鞋、口罩、无尘服；高危病菌区域需穿着一级防护才可以进入。新冠肺炎疫情及其他重大疫情防控期间，为确保各院区各科室人员安全，需按照采购人疫情防控规定管理，凡参与过滤器安装及洁净科室检测的服务人员需按采购人的相关疫情管理规定，做好防护措施，方可上岗操作。</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2.4 为不耽误各院区各科室工作，安装过程必须快速、高效地进行，人员配备要求如下：</w:t>
      </w:r>
    </w:p>
    <w:p>
      <w:pPr>
        <w:spacing w:line="360" w:lineRule="auto"/>
        <w:ind w:left="630" w:hanging="630" w:hangingChars="300"/>
        <w:jc w:val="left"/>
        <w:rPr>
          <w:rFonts w:ascii="宋体" w:hAnsi="宋体" w:eastAsia="宋体" w:cs="宋体"/>
          <w:bCs/>
          <w:szCs w:val="21"/>
        </w:rPr>
      </w:pPr>
      <w:r>
        <w:rPr>
          <w:rFonts w:hint="eastAsia" w:ascii="宋体" w:hAnsi="宋体" w:eastAsia="宋体" w:cs="宋体"/>
          <w:bCs/>
          <w:szCs w:val="21"/>
        </w:rPr>
        <w:t>2.4.1 投入本项目的团队人员不少于10人，设项目经理1人，负责本项目的24小时联络、施工组织、技术咨询工作，其余不少于9人为现场过滤器安装更换人员。项目经理需具有机电类中级工程师或以上职称，安装技术员需具有《特种作业操作证》（作业类别：制冷与空调作业）资质；其他服务人员在安装、调试过程中提供技术服务，按采购人维修具体内容负责对中央空调设备进行认真有序的安装、调试，确保采购人洁净中央空调系统安全、可靠、高效、无故障运行。</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 xml:space="preserve">2.4.2 </w:t>
      </w:r>
      <w:r>
        <w:rPr>
          <w:rFonts w:hint="eastAsia" w:ascii="宋体" w:hAnsi="宋体" w:eastAsia="宋体" w:cs="宋体"/>
          <w:bCs/>
          <w:szCs w:val="21"/>
          <w:lang w:eastAsia="zh-CN"/>
        </w:rPr>
        <w:t>成交供应商</w:t>
      </w:r>
      <w:r>
        <w:rPr>
          <w:rFonts w:hint="eastAsia" w:ascii="宋体" w:hAnsi="宋体" w:eastAsia="宋体" w:cs="宋体"/>
          <w:bCs/>
          <w:szCs w:val="21"/>
        </w:rPr>
        <w:t>自备安装过程所需的物件并承担所有费用。</w:t>
      </w:r>
    </w:p>
    <w:p>
      <w:pPr>
        <w:spacing w:line="360" w:lineRule="auto"/>
        <w:ind w:left="630" w:hanging="630" w:hangingChars="300"/>
        <w:jc w:val="left"/>
        <w:rPr>
          <w:rFonts w:ascii="宋体" w:hAnsi="宋体" w:eastAsia="宋体" w:cs="宋体"/>
          <w:bCs/>
          <w:szCs w:val="21"/>
        </w:rPr>
      </w:pPr>
      <w:r>
        <w:rPr>
          <w:rFonts w:hint="eastAsia" w:ascii="宋体" w:hAnsi="宋体" w:eastAsia="宋体" w:cs="宋体"/>
          <w:bCs/>
          <w:szCs w:val="21"/>
        </w:rPr>
        <w:t>2.4.3服务期间，</w:t>
      </w:r>
      <w:r>
        <w:rPr>
          <w:rFonts w:hint="eastAsia" w:ascii="宋体" w:hAnsi="宋体" w:eastAsia="宋体" w:cs="宋体"/>
          <w:bCs/>
          <w:szCs w:val="21"/>
          <w:lang w:eastAsia="zh-CN"/>
        </w:rPr>
        <w:t>成交供应商</w:t>
      </w:r>
      <w:r>
        <w:rPr>
          <w:rFonts w:hint="eastAsia" w:ascii="宋体" w:hAnsi="宋体" w:eastAsia="宋体" w:cs="宋体"/>
          <w:bCs/>
          <w:szCs w:val="21"/>
        </w:rPr>
        <w:t>服务人员应遵纪守法，佩戴有效工作证件，遵守采购人单位的各项规章管理制度，如安装人员不服从采购人现场工作人员的指挥管理，采购人有权要求</w:t>
      </w:r>
      <w:r>
        <w:rPr>
          <w:rFonts w:hint="eastAsia" w:ascii="宋体" w:hAnsi="宋体" w:eastAsia="宋体" w:cs="宋体"/>
          <w:bCs/>
          <w:szCs w:val="21"/>
          <w:lang w:eastAsia="zh-CN"/>
        </w:rPr>
        <w:t>成交供应商</w:t>
      </w:r>
      <w:r>
        <w:rPr>
          <w:rFonts w:hint="eastAsia" w:ascii="宋体" w:hAnsi="宋体" w:eastAsia="宋体" w:cs="宋体"/>
          <w:bCs/>
          <w:szCs w:val="21"/>
        </w:rPr>
        <w:t>更换服务人员。</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2.5 过滤器更换安装要求：</w:t>
      </w:r>
    </w:p>
    <w:p>
      <w:pPr>
        <w:spacing w:line="360" w:lineRule="auto"/>
        <w:ind w:left="630" w:hanging="630" w:hangingChars="300"/>
        <w:jc w:val="left"/>
        <w:rPr>
          <w:rFonts w:ascii="宋体" w:hAnsi="宋体" w:eastAsia="宋体" w:cs="宋体"/>
          <w:bCs/>
          <w:szCs w:val="21"/>
        </w:rPr>
      </w:pPr>
      <w:r>
        <w:rPr>
          <w:rFonts w:hint="eastAsia" w:ascii="宋体" w:hAnsi="宋体" w:eastAsia="宋体" w:cs="宋体"/>
          <w:bCs/>
          <w:szCs w:val="21"/>
        </w:rPr>
        <w:t>2.5.1 各类过滤器在安装前，不允许打开包装袋或包装膜；并按包装箱上标注的方向存放过滤器；在搬运过程中，应轻拿、轻放，避免剧烈的振动和碰撞。</w:t>
      </w:r>
    </w:p>
    <w:p>
      <w:pPr>
        <w:spacing w:line="360" w:lineRule="auto"/>
        <w:ind w:left="630" w:hanging="630" w:hangingChars="300"/>
        <w:jc w:val="left"/>
        <w:rPr>
          <w:rFonts w:ascii="宋体" w:hAnsi="宋体" w:eastAsia="宋体" w:cs="宋体"/>
          <w:bCs/>
          <w:szCs w:val="21"/>
        </w:rPr>
      </w:pPr>
      <w:r>
        <w:rPr>
          <w:rFonts w:hint="eastAsia" w:ascii="宋体" w:hAnsi="宋体" w:eastAsia="宋体" w:cs="宋体"/>
          <w:bCs/>
          <w:szCs w:val="21"/>
        </w:rPr>
        <w:t>2.5.2 过滤器安装前，应对洁净室进行全面清扫、擦净，净化空调系统内部如有积尘，应再次清扫、擦净，达到清洁要求。如在技术夹层或吊顶内安装高效过滤器，则技术层或吊顶内也应进行全面清扫、擦净。</w:t>
      </w:r>
    </w:p>
    <w:p>
      <w:pPr>
        <w:spacing w:line="360" w:lineRule="auto"/>
        <w:ind w:left="630" w:hanging="630" w:hangingChars="300"/>
        <w:jc w:val="left"/>
        <w:rPr>
          <w:rFonts w:ascii="宋体" w:hAnsi="宋体" w:eastAsia="宋体" w:cs="宋体"/>
          <w:bCs/>
          <w:szCs w:val="21"/>
        </w:rPr>
      </w:pPr>
      <w:r>
        <w:rPr>
          <w:rFonts w:hint="eastAsia" w:ascii="宋体" w:hAnsi="宋体" w:eastAsia="宋体" w:cs="宋体"/>
          <w:bCs/>
          <w:szCs w:val="21"/>
        </w:rPr>
        <w:t>2.5.3 高效过滤器安装前，应在安装现场拆开包装进行外观检查，内容包括：滤纸、密封胶和框架有无损坏；边长、对角线和厚度尺寸是否符合要求；框架有无毛刺和锈斑（金属框）；有无产品合格证，技术性能是否符合设计要求。然后按照国家标准《洁净室施工及验收规范》〔GB 50591-2010〕的规定的方法进行检查，合格的应立即安装。安装高效过滤器时，外框上箭头应和气流方向一致；当其垂直安装时，滤纸折痕方向应垂直于地面。</w:t>
      </w:r>
    </w:p>
    <w:p>
      <w:pPr>
        <w:spacing w:line="360" w:lineRule="auto"/>
        <w:ind w:left="630" w:hanging="630" w:hangingChars="300"/>
        <w:jc w:val="left"/>
        <w:rPr>
          <w:rFonts w:ascii="宋体" w:hAnsi="宋体" w:eastAsia="宋体" w:cs="宋体"/>
          <w:bCs/>
          <w:szCs w:val="21"/>
        </w:rPr>
      </w:pPr>
      <w:r>
        <w:rPr>
          <w:rFonts w:hint="eastAsia" w:ascii="宋体" w:hAnsi="宋体" w:eastAsia="宋体" w:cs="宋体"/>
          <w:bCs/>
          <w:szCs w:val="21"/>
        </w:rPr>
        <w:t xml:space="preserve">2.5.4 安装初效平板式或折叠式过滤器，应使镀锌网面在出风背面方向。安装中效袋式过滤器，则应使滤袋长度方向垂直于地面，不可使滤袋方向平行于地面安装； </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2.6 洁净空调柜机初、中、亚高效过滤端安装前后须定期用干抹布或其它工具进行清扫，保持空调处于洁净工作状态。</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2.7 每次过滤器安装完毕后，</w:t>
      </w:r>
      <w:r>
        <w:rPr>
          <w:rFonts w:hint="eastAsia" w:ascii="宋体" w:hAnsi="宋体" w:eastAsia="宋体" w:cs="宋体"/>
          <w:bCs/>
          <w:szCs w:val="21"/>
          <w:lang w:eastAsia="zh-CN"/>
        </w:rPr>
        <w:t>供应商</w:t>
      </w:r>
      <w:r>
        <w:rPr>
          <w:rFonts w:hint="eastAsia" w:ascii="宋体" w:hAnsi="宋体" w:eastAsia="宋体" w:cs="宋体"/>
          <w:bCs/>
          <w:szCs w:val="21"/>
        </w:rPr>
        <w:t>需提交经采购人管理人员签名确认的空气过滤器安装明细、空调柜机清扫记录表。</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2.8 安装结束后所有系统调试：按国家相关施工验收规范进行，分阶段进行调试。</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2.9 安装、调试所需工具设施、材料由</w:t>
      </w:r>
      <w:r>
        <w:rPr>
          <w:rFonts w:hint="eastAsia" w:ascii="宋体" w:hAnsi="宋体" w:eastAsia="宋体" w:cs="宋体"/>
          <w:bCs/>
          <w:szCs w:val="21"/>
          <w:lang w:eastAsia="zh-CN"/>
        </w:rPr>
        <w:t>成交供应商</w:t>
      </w:r>
      <w:r>
        <w:rPr>
          <w:rFonts w:hint="eastAsia" w:ascii="宋体" w:hAnsi="宋体" w:eastAsia="宋体" w:cs="宋体"/>
          <w:bCs/>
          <w:szCs w:val="21"/>
        </w:rPr>
        <w:t>运到现场，完工后搬走，此项费用包含在</w:t>
      </w:r>
      <w:r>
        <w:rPr>
          <w:rFonts w:hint="eastAsia" w:ascii="宋体" w:hAnsi="宋体" w:eastAsia="宋体" w:cs="宋体"/>
          <w:bCs/>
          <w:szCs w:val="21"/>
          <w:lang w:eastAsia="zh-CN"/>
        </w:rPr>
        <w:t>响应</w:t>
      </w:r>
      <w:r>
        <w:rPr>
          <w:rFonts w:hint="eastAsia" w:ascii="宋体" w:hAnsi="宋体" w:eastAsia="宋体" w:cs="宋体"/>
          <w:bCs/>
          <w:szCs w:val="21"/>
        </w:rPr>
        <w:t>报价中。</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2.10 其它要求：</w:t>
      </w:r>
    </w:p>
    <w:p>
      <w:pPr>
        <w:spacing w:line="360" w:lineRule="auto"/>
        <w:ind w:left="735" w:hanging="735" w:hangingChars="350"/>
        <w:jc w:val="left"/>
        <w:rPr>
          <w:rFonts w:ascii="宋体" w:hAnsi="宋体" w:eastAsia="宋体" w:cs="宋体"/>
          <w:bCs/>
          <w:szCs w:val="21"/>
        </w:rPr>
      </w:pPr>
      <w:r>
        <w:rPr>
          <w:rFonts w:hint="eastAsia" w:ascii="宋体" w:hAnsi="宋体" w:eastAsia="宋体" w:cs="宋体"/>
          <w:bCs/>
          <w:szCs w:val="21"/>
        </w:rPr>
        <w:t xml:space="preserve">2.10.1 在安装环境外围出去产品外包装，保留内包装防止外包装对施工场地造成污染同时保护产品不受污染。 </w:t>
      </w:r>
    </w:p>
    <w:p>
      <w:pPr>
        <w:spacing w:line="360" w:lineRule="auto"/>
        <w:ind w:left="735" w:hanging="735" w:hangingChars="350"/>
        <w:jc w:val="left"/>
        <w:rPr>
          <w:rFonts w:ascii="宋体" w:hAnsi="宋体" w:eastAsia="宋体" w:cs="宋体"/>
          <w:bCs/>
          <w:szCs w:val="21"/>
        </w:rPr>
      </w:pPr>
      <w:r>
        <w:rPr>
          <w:rFonts w:hint="eastAsia" w:ascii="宋体" w:hAnsi="宋体" w:eastAsia="宋体" w:cs="宋体"/>
          <w:bCs/>
          <w:szCs w:val="21"/>
        </w:rPr>
        <w:t xml:space="preserve">2.10.2 对于必须进入场地的施工工具进行清洁处理，条件允许使用酒精在清洁、消毒。 </w:t>
      </w:r>
    </w:p>
    <w:p>
      <w:pPr>
        <w:spacing w:line="360" w:lineRule="auto"/>
        <w:ind w:left="735" w:hanging="735" w:hangingChars="350"/>
        <w:jc w:val="left"/>
        <w:rPr>
          <w:rFonts w:ascii="宋体" w:hAnsi="宋体" w:eastAsia="宋体" w:cs="宋体"/>
          <w:bCs/>
          <w:szCs w:val="21"/>
        </w:rPr>
      </w:pPr>
      <w:r>
        <w:rPr>
          <w:rFonts w:hint="eastAsia" w:ascii="宋体" w:hAnsi="宋体" w:eastAsia="宋体" w:cs="宋体"/>
          <w:bCs/>
          <w:szCs w:val="21"/>
        </w:rPr>
        <w:t xml:space="preserve">2.10.3 进入室内洁净场地施工时施工人员需穿戴洁净无尘工作服。进入工作场地后首先注意观察室内设备物品，有必要时现场设备做适当防护。 </w:t>
      </w:r>
    </w:p>
    <w:p>
      <w:pPr>
        <w:spacing w:line="360" w:lineRule="auto"/>
        <w:ind w:left="735" w:hanging="735" w:hangingChars="350"/>
        <w:jc w:val="left"/>
        <w:rPr>
          <w:rFonts w:ascii="宋体" w:hAnsi="宋体" w:eastAsia="宋体" w:cs="宋体"/>
          <w:bCs/>
          <w:szCs w:val="21"/>
        </w:rPr>
      </w:pPr>
      <w:r>
        <w:rPr>
          <w:rFonts w:hint="eastAsia" w:ascii="宋体" w:hAnsi="宋体" w:eastAsia="宋体" w:cs="宋体"/>
          <w:bCs/>
          <w:szCs w:val="21"/>
        </w:rPr>
        <w:t xml:space="preserve">2.10.4 安装更换产品时应仔细确认产品完好性，现场原有设备是否还正常，排除原有设备因时间久而容易出现的问题，主要是原有设备老化后容易出现的泄漏。 </w:t>
      </w:r>
    </w:p>
    <w:p>
      <w:pPr>
        <w:spacing w:line="360" w:lineRule="auto"/>
        <w:ind w:left="735" w:hanging="735" w:hangingChars="350"/>
        <w:jc w:val="left"/>
        <w:rPr>
          <w:rFonts w:ascii="宋体" w:hAnsi="宋体" w:eastAsia="宋体" w:cs="宋体"/>
          <w:bCs/>
          <w:szCs w:val="21"/>
        </w:rPr>
      </w:pPr>
      <w:r>
        <w:rPr>
          <w:rFonts w:hint="eastAsia" w:ascii="宋体" w:hAnsi="宋体" w:eastAsia="宋体" w:cs="宋体"/>
          <w:bCs/>
          <w:szCs w:val="21"/>
        </w:rPr>
        <w:t>2.10.5 安装时确保安装更换后的产品与原设备的密闭性，必要时需用专业检测设备检测，安装前且应对产品相关部位进行清洁消毒，相关的清洁消毒用品费用包含在</w:t>
      </w:r>
      <w:r>
        <w:rPr>
          <w:rFonts w:hint="eastAsia" w:ascii="宋体" w:hAnsi="宋体" w:eastAsia="宋体" w:cs="宋体"/>
          <w:bCs/>
          <w:szCs w:val="21"/>
          <w:lang w:eastAsia="zh-CN"/>
        </w:rPr>
        <w:t>响应</w:t>
      </w:r>
      <w:r>
        <w:rPr>
          <w:rFonts w:hint="eastAsia" w:ascii="宋体" w:hAnsi="宋体" w:eastAsia="宋体" w:cs="宋体"/>
          <w:bCs/>
          <w:szCs w:val="21"/>
        </w:rPr>
        <w:t xml:space="preserve">报价中。同时对产品安装需按相关注意事项不能在安装时对产品造成损坏。 </w:t>
      </w:r>
    </w:p>
    <w:p>
      <w:pPr>
        <w:spacing w:line="360" w:lineRule="auto"/>
        <w:ind w:left="735" w:hanging="735" w:hangingChars="350"/>
        <w:jc w:val="left"/>
        <w:rPr>
          <w:rFonts w:ascii="宋体" w:hAnsi="宋体" w:eastAsia="宋体" w:cs="宋体"/>
          <w:bCs/>
          <w:szCs w:val="21"/>
        </w:rPr>
      </w:pPr>
      <w:r>
        <w:rPr>
          <w:rFonts w:hint="eastAsia" w:ascii="宋体" w:hAnsi="宋体" w:eastAsia="宋体" w:cs="宋体"/>
          <w:bCs/>
          <w:szCs w:val="21"/>
        </w:rPr>
        <w:t>2.10.6 安装时如有需要移动物品应先征得采购人许可，不可贸然行事，事后需还原位置。安装期间，</w:t>
      </w:r>
      <w:r>
        <w:rPr>
          <w:rFonts w:hint="eastAsia" w:ascii="宋体" w:hAnsi="宋体" w:eastAsia="宋体" w:cs="宋体"/>
          <w:bCs/>
          <w:szCs w:val="21"/>
          <w:lang w:eastAsia="zh-CN"/>
        </w:rPr>
        <w:t>成交供应商</w:t>
      </w:r>
      <w:r>
        <w:rPr>
          <w:rFonts w:hint="eastAsia" w:ascii="宋体" w:hAnsi="宋体" w:eastAsia="宋体" w:cs="宋体"/>
          <w:bCs/>
          <w:szCs w:val="21"/>
        </w:rPr>
        <w:t>须对安装场地内的其他设备、设施作相应保护措施，若因</w:t>
      </w:r>
      <w:r>
        <w:rPr>
          <w:rFonts w:hint="eastAsia" w:ascii="宋体" w:hAnsi="宋体" w:eastAsia="宋体" w:cs="宋体"/>
          <w:bCs/>
          <w:szCs w:val="21"/>
          <w:lang w:eastAsia="zh-CN"/>
        </w:rPr>
        <w:t>成交供应商</w:t>
      </w:r>
      <w:r>
        <w:rPr>
          <w:rFonts w:hint="eastAsia" w:ascii="宋体" w:hAnsi="宋体" w:eastAsia="宋体" w:cs="宋体"/>
          <w:bCs/>
          <w:szCs w:val="21"/>
        </w:rPr>
        <w:t>过错，造成采购人财产或人身损害，</w:t>
      </w:r>
      <w:r>
        <w:rPr>
          <w:rFonts w:hint="eastAsia" w:ascii="宋体" w:hAnsi="宋体" w:eastAsia="宋体" w:cs="宋体"/>
          <w:bCs/>
          <w:szCs w:val="21"/>
          <w:lang w:eastAsia="zh-CN"/>
        </w:rPr>
        <w:t>成交供应商</w:t>
      </w:r>
      <w:r>
        <w:rPr>
          <w:rFonts w:hint="eastAsia" w:ascii="宋体" w:hAnsi="宋体" w:eastAsia="宋体" w:cs="宋体"/>
          <w:bCs/>
          <w:szCs w:val="21"/>
        </w:rPr>
        <w:t>承担一切法律责任和经济损失。</w:t>
      </w:r>
      <w:r>
        <w:rPr>
          <w:rFonts w:hint="eastAsia" w:ascii="宋体" w:hAnsi="宋体" w:eastAsia="宋体" w:cs="宋体"/>
          <w:bCs/>
          <w:szCs w:val="21"/>
          <w:lang w:eastAsia="zh-CN"/>
        </w:rPr>
        <w:t>成交供应商</w:t>
      </w:r>
      <w:r>
        <w:rPr>
          <w:rFonts w:hint="eastAsia" w:ascii="宋体" w:hAnsi="宋体" w:eastAsia="宋体" w:cs="宋体"/>
          <w:bCs/>
          <w:szCs w:val="21"/>
        </w:rPr>
        <w:t>需严格按照采购人的指定时间安装，不得影响采购人的正常医疗秩序，如涉及的加班费用包含在</w:t>
      </w:r>
      <w:r>
        <w:rPr>
          <w:rFonts w:hint="eastAsia" w:ascii="宋体" w:hAnsi="宋体" w:eastAsia="宋体" w:cs="宋体"/>
          <w:bCs/>
          <w:szCs w:val="21"/>
          <w:lang w:eastAsia="zh-CN"/>
        </w:rPr>
        <w:t>响应</w:t>
      </w:r>
      <w:r>
        <w:rPr>
          <w:rFonts w:hint="eastAsia" w:ascii="宋体" w:hAnsi="宋体" w:eastAsia="宋体" w:cs="宋体"/>
          <w:bCs/>
          <w:szCs w:val="21"/>
        </w:rPr>
        <w:t xml:space="preserve">报价中，采购人不另行支付。 </w:t>
      </w:r>
    </w:p>
    <w:p>
      <w:pPr>
        <w:spacing w:line="360" w:lineRule="auto"/>
        <w:ind w:left="735" w:hanging="735" w:hangingChars="350"/>
        <w:jc w:val="left"/>
        <w:rPr>
          <w:rFonts w:ascii="宋体" w:hAnsi="宋体" w:eastAsia="宋体" w:cs="宋体"/>
          <w:bCs/>
          <w:szCs w:val="21"/>
        </w:rPr>
      </w:pPr>
      <w:r>
        <w:rPr>
          <w:rFonts w:hint="eastAsia" w:ascii="宋体" w:hAnsi="宋体" w:eastAsia="宋体" w:cs="宋体"/>
          <w:bCs/>
          <w:szCs w:val="21"/>
        </w:rPr>
        <w:t>2.10.7 完成安装更换后需对残留旧产品和包装品进行整理处理，特别注意旧产品的处理防止对场地环境造成污染。人员离开时需将包装品，放在采购人指定处理区域</w:t>
      </w:r>
      <w:r>
        <w:rPr>
          <w:rStyle w:val="5"/>
          <w:rFonts w:hint="eastAsia" w:ascii="宋体" w:hAnsi="宋体" w:eastAsia="宋体" w:cs="宋体"/>
        </w:rPr>
        <w:t>；</w:t>
      </w:r>
      <w:r>
        <w:rPr>
          <w:rFonts w:hint="eastAsia" w:ascii="宋体" w:hAnsi="宋体" w:eastAsia="宋体" w:cs="宋体"/>
          <w:bCs/>
          <w:szCs w:val="21"/>
        </w:rPr>
        <w:t>更换后旧的过滤器由</w:t>
      </w:r>
      <w:r>
        <w:rPr>
          <w:rFonts w:hint="eastAsia" w:ascii="宋体" w:hAnsi="宋体" w:eastAsia="宋体" w:cs="宋体"/>
          <w:bCs/>
          <w:szCs w:val="21"/>
          <w:lang w:eastAsia="zh-CN"/>
        </w:rPr>
        <w:t>成交供应商</w:t>
      </w:r>
      <w:r>
        <w:rPr>
          <w:rFonts w:hint="eastAsia" w:ascii="宋体" w:hAnsi="宋体" w:eastAsia="宋体" w:cs="宋体"/>
          <w:bCs/>
          <w:szCs w:val="21"/>
        </w:rPr>
        <w:t>带离医院并做合规处理，该项费用包含在</w:t>
      </w:r>
      <w:r>
        <w:rPr>
          <w:rFonts w:hint="eastAsia" w:ascii="宋体" w:hAnsi="宋体" w:eastAsia="宋体" w:cs="宋体"/>
          <w:bCs/>
          <w:szCs w:val="21"/>
          <w:lang w:eastAsia="zh-CN"/>
        </w:rPr>
        <w:t>响应</w:t>
      </w:r>
      <w:r>
        <w:rPr>
          <w:rFonts w:hint="eastAsia" w:ascii="宋体" w:hAnsi="宋体" w:eastAsia="宋体" w:cs="宋体"/>
          <w:bCs/>
          <w:szCs w:val="21"/>
        </w:rPr>
        <w:t>报价中。</w:t>
      </w:r>
    </w:p>
    <w:p>
      <w:pPr>
        <w:spacing w:line="360" w:lineRule="auto"/>
        <w:ind w:left="735" w:hanging="735" w:hangingChars="350"/>
        <w:jc w:val="left"/>
        <w:rPr>
          <w:rFonts w:ascii="宋体" w:hAnsi="宋体" w:eastAsia="宋体" w:cs="宋体"/>
          <w:bCs/>
          <w:szCs w:val="21"/>
        </w:rPr>
      </w:pPr>
      <w:r>
        <w:rPr>
          <w:rFonts w:hint="eastAsia" w:ascii="宋体" w:hAnsi="宋体" w:eastAsia="宋体" w:cs="宋体"/>
          <w:bCs/>
          <w:szCs w:val="21"/>
        </w:rPr>
        <w:t xml:space="preserve">2.10.8 </w:t>
      </w:r>
      <w:r>
        <w:rPr>
          <w:rFonts w:hint="eastAsia" w:ascii="宋体" w:hAnsi="宋体" w:eastAsia="宋体" w:cs="宋体"/>
          <w:bCs/>
          <w:szCs w:val="21"/>
          <w:lang w:eastAsia="zh-CN"/>
        </w:rPr>
        <w:t>成交供应商</w:t>
      </w:r>
      <w:r>
        <w:rPr>
          <w:rFonts w:hint="eastAsia" w:ascii="宋体" w:hAnsi="宋体" w:eastAsia="宋体" w:cs="宋体"/>
          <w:bCs/>
          <w:szCs w:val="21"/>
        </w:rPr>
        <w:t>作为相关货物安装、维护、检测的安全负责人，对相关货物安装、维护等工作安全负责。</w:t>
      </w:r>
      <w:r>
        <w:rPr>
          <w:rFonts w:hint="eastAsia" w:ascii="宋体" w:hAnsi="宋体" w:eastAsia="宋体" w:cs="宋体"/>
          <w:bCs/>
          <w:szCs w:val="21"/>
          <w:lang w:eastAsia="zh-CN"/>
        </w:rPr>
        <w:t>成交供应商</w:t>
      </w:r>
      <w:r>
        <w:rPr>
          <w:rFonts w:hint="eastAsia" w:ascii="宋体" w:hAnsi="宋体" w:eastAsia="宋体" w:cs="宋体"/>
          <w:bCs/>
          <w:szCs w:val="21"/>
        </w:rPr>
        <w:t>须采取一切措施对相关货物安装、维护，检测等环节进行安全保护管理，确保杜绝一切安全事故。因</w:t>
      </w:r>
      <w:r>
        <w:rPr>
          <w:rFonts w:hint="eastAsia" w:ascii="宋体" w:hAnsi="宋体" w:eastAsia="宋体" w:cs="宋体"/>
          <w:bCs/>
          <w:szCs w:val="21"/>
          <w:lang w:eastAsia="zh-CN"/>
        </w:rPr>
        <w:t>成交供应商</w:t>
      </w:r>
      <w:r>
        <w:rPr>
          <w:rFonts w:hint="eastAsia" w:ascii="宋体" w:hAnsi="宋体" w:eastAsia="宋体" w:cs="宋体"/>
          <w:bCs/>
          <w:szCs w:val="21"/>
        </w:rPr>
        <w:t>的过错（包括故意和管理过失）发生操作、消防、用电等事故，由</w:t>
      </w:r>
      <w:r>
        <w:rPr>
          <w:rFonts w:hint="eastAsia" w:ascii="宋体" w:hAnsi="宋体" w:eastAsia="宋体" w:cs="宋体"/>
          <w:bCs/>
          <w:szCs w:val="21"/>
          <w:lang w:eastAsia="zh-CN"/>
        </w:rPr>
        <w:t>成交供应商</w:t>
      </w:r>
      <w:r>
        <w:rPr>
          <w:rFonts w:hint="eastAsia" w:ascii="宋体" w:hAnsi="宋体" w:eastAsia="宋体" w:cs="宋体"/>
          <w:bCs/>
          <w:szCs w:val="21"/>
        </w:rPr>
        <w:t>承担一切责任，因非可归咎于采购人的原因而发生人身伤亡或财产损失事件的，采购人不承担任何责任。</w:t>
      </w:r>
    </w:p>
    <w:p>
      <w:pPr>
        <w:spacing w:line="360" w:lineRule="auto"/>
        <w:ind w:left="735" w:hanging="735" w:hangingChars="350"/>
        <w:jc w:val="left"/>
        <w:rPr>
          <w:rFonts w:ascii="宋体" w:hAnsi="宋体" w:eastAsia="宋体" w:cs="宋体"/>
          <w:bCs/>
          <w:szCs w:val="21"/>
        </w:rPr>
      </w:pPr>
      <w:r>
        <w:rPr>
          <w:rFonts w:hint="eastAsia" w:ascii="宋体" w:hAnsi="宋体" w:eastAsia="宋体" w:cs="宋体"/>
          <w:bCs/>
          <w:szCs w:val="21"/>
        </w:rPr>
        <w:t xml:space="preserve">2.10.9 </w:t>
      </w:r>
      <w:r>
        <w:rPr>
          <w:rFonts w:hint="eastAsia" w:ascii="宋体" w:hAnsi="宋体" w:eastAsia="宋体" w:cs="宋体"/>
          <w:bCs/>
          <w:szCs w:val="21"/>
          <w:lang w:eastAsia="zh-CN"/>
        </w:rPr>
        <w:t>成交供应商</w:t>
      </w:r>
      <w:r>
        <w:rPr>
          <w:rFonts w:hint="eastAsia" w:ascii="宋体" w:hAnsi="宋体" w:eastAsia="宋体" w:cs="宋体"/>
          <w:bCs/>
          <w:szCs w:val="21"/>
        </w:rPr>
        <w:t>在实施货物供货期间，不得将供货的实际数量及采购人相关信息泄露给其他企业或者个人，送货人员需注意采购人、病人的隐私，未经采购人许可，不得随意进出采购人科室、诊室。</w:t>
      </w:r>
      <w:r>
        <w:rPr>
          <w:rFonts w:hint="eastAsia" w:ascii="宋体" w:hAnsi="宋体" w:eastAsia="宋体" w:cs="宋体"/>
          <w:bCs/>
          <w:szCs w:val="21"/>
          <w:lang w:eastAsia="zh-CN"/>
        </w:rPr>
        <w:t>成交供应商</w:t>
      </w:r>
      <w:r>
        <w:rPr>
          <w:rFonts w:hint="eastAsia" w:ascii="宋体" w:hAnsi="宋体" w:eastAsia="宋体" w:cs="宋体"/>
          <w:bCs/>
          <w:szCs w:val="21"/>
        </w:rPr>
        <w:t>必须指派相对固定的人员完成货物配送 服务，货物配送人员必须遵纪守法、品行良好，无违法犯罪记录。</w:t>
      </w:r>
    </w:p>
    <w:p>
      <w:pPr>
        <w:spacing w:line="360" w:lineRule="auto"/>
        <w:ind w:left="422" w:hanging="422" w:hangingChars="200"/>
        <w:jc w:val="left"/>
        <w:rPr>
          <w:rFonts w:ascii="宋体" w:hAnsi="宋体" w:eastAsia="宋体" w:cs="宋体"/>
          <w:b/>
          <w:bCs/>
          <w:szCs w:val="21"/>
        </w:rPr>
      </w:pPr>
      <w:r>
        <w:rPr>
          <w:rFonts w:hint="eastAsia" w:ascii="宋体" w:hAnsi="宋体" w:eastAsia="宋体" w:cs="宋体"/>
          <w:b/>
          <w:bCs/>
          <w:szCs w:val="21"/>
        </w:rPr>
        <w:t>3. 检测：</w:t>
      </w:r>
    </w:p>
    <w:p>
      <w:pPr>
        <w:spacing w:line="360" w:lineRule="auto"/>
        <w:ind w:left="422" w:hanging="422" w:hangingChars="200"/>
        <w:rPr>
          <w:rFonts w:hint="eastAsia" w:ascii="宋体" w:hAnsi="宋体" w:eastAsia="宋体" w:cs="宋体"/>
          <w:b/>
          <w:bCs/>
          <w:szCs w:val="21"/>
        </w:rPr>
      </w:pPr>
      <w:r>
        <w:rPr>
          <w:rFonts w:hint="eastAsia" w:ascii="宋体" w:hAnsi="宋体" w:eastAsia="宋体" w:cs="宋体"/>
          <w:b/>
          <w:bCs/>
          <w:szCs w:val="21"/>
        </w:rPr>
        <w:t xml:space="preserve">表1 </w:t>
      </w:r>
      <w:r>
        <w:rPr>
          <w:rFonts w:hint="eastAsia" w:ascii="宋体" w:hAnsi="宋体" w:eastAsia="宋体" w:cs="宋体"/>
          <w:b/>
          <w:bCs/>
          <w:szCs w:val="21"/>
          <w:lang w:val="en-US" w:eastAsia="zh-CN"/>
        </w:rPr>
        <w:t>广州妇女儿童医疗中心增城</w:t>
      </w:r>
      <w:r>
        <w:rPr>
          <w:rFonts w:hint="eastAsia" w:ascii="宋体" w:hAnsi="宋体" w:eastAsia="宋体" w:cs="宋体"/>
          <w:b/>
          <w:bCs/>
          <w:szCs w:val="21"/>
        </w:rPr>
        <w:t>院区洁净等级概况：</w:t>
      </w:r>
    </w:p>
    <w:tbl>
      <w:tblPr>
        <w:tblStyle w:val="2"/>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61"/>
        <w:gridCol w:w="2641"/>
        <w:gridCol w:w="1420"/>
        <w:gridCol w:w="1304"/>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tblHeader/>
          <w:jc w:val="center"/>
        </w:trPr>
        <w:tc>
          <w:tcPr>
            <w:tcW w:w="861" w:type="dxa"/>
            <w:shd w:val="clear" w:color="auto" w:fill="C7DAF1"/>
            <w:vAlign w:val="center"/>
          </w:tcPr>
          <w:p>
            <w:pPr>
              <w:pStyle w:val="6"/>
              <w:tabs>
                <w:tab w:val="left" w:pos="284"/>
              </w:tabs>
              <w:adjustRightInd w:val="0"/>
              <w:snapToGrid w:val="0"/>
              <w:jc w:val="center"/>
              <w:rPr>
                <w:rFonts w:ascii="宋体" w:hAnsi="宋体" w:cs="宋体"/>
                <w:b/>
                <w:sz w:val="24"/>
              </w:rPr>
            </w:pPr>
            <w:r>
              <w:rPr>
                <w:rFonts w:hint="eastAsia" w:ascii="宋体" w:hAnsi="宋体" w:cs="宋体"/>
                <w:b/>
                <w:sz w:val="24"/>
              </w:rPr>
              <w:t>序号</w:t>
            </w:r>
          </w:p>
        </w:tc>
        <w:tc>
          <w:tcPr>
            <w:tcW w:w="2641" w:type="dxa"/>
            <w:shd w:val="clear" w:color="auto" w:fill="C7DAF1"/>
            <w:vAlign w:val="center"/>
          </w:tcPr>
          <w:p>
            <w:pPr>
              <w:pStyle w:val="6"/>
              <w:tabs>
                <w:tab w:val="left" w:pos="284"/>
              </w:tabs>
              <w:adjustRightInd w:val="0"/>
              <w:snapToGrid w:val="0"/>
              <w:jc w:val="center"/>
              <w:rPr>
                <w:rFonts w:ascii="宋体" w:hAnsi="宋体" w:cs="宋体"/>
                <w:b/>
                <w:sz w:val="24"/>
              </w:rPr>
            </w:pPr>
            <w:r>
              <w:rPr>
                <w:rFonts w:hint="eastAsia" w:ascii="宋体" w:hAnsi="宋体" w:cs="宋体"/>
                <w:b/>
                <w:sz w:val="24"/>
              </w:rPr>
              <w:t>场地名称</w:t>
            </w:r>
          </w:p>
        </w:tc>
        <w:tc>
          <w:tcPr>
            <w:tcW w:w="1420" w:type="dxa"/>
            <w:shd w:val="clear" w:color="auto" w:fill="C7DAF1"/>
            <w:vAlign w:val="center"/>
          </w:tcPr>
          <w:p>
            <w:pPr>
              <w:pStyle w:val="6"/>
              <w:tabs>
                <w:tab w:val="left" w:pos="284"/>
              </w:tabs>
              <w:adjustRightInd w:val="0"/>
              <w:snapToGrid w:val="0"/>
              <w:jc w:val="center"/>
              <w:rPr>
                <w:rFonts w:ascii="宋体" w:hAnsi="宋体" w:cs="宋体"/>
                <w:b/>
                <w:sz w:val="24"/>
              </w:rPr>
            </w:pPr>
            <w:r>
              <w:rPr>
                <w:rFonts w:hint="eastAsia" w:ascii="宋体" w:hAnsi="宋体" w:cs="宋体"/>
                <w:b/>
                <w:sz w:val="24"/>
              </w:rPr>
              <w:t>所在楼层</w:t>
            </w:r>
          </w:p>
        </w:tc>
        <w:tc>
          <w:tcPr>
            <w:tcW w:w="1304" w:type="dxa"/>
            <w:shd w:val="clear" w:color="auto" w:fill="C7DAF1"/>
            <w:vAlign w:val="center"/>
          </w:tcPr>
          <w:p>
            <w:pPr>
              <w:pStyle w:val="6"/>
              <w:tabs>
                <w:tab w:val="left" w:pos="284"/>
              </w:tabs>
              <w:adjustRightInd w:val="0"/>
              <w:snapToGrid w:val="0"/>
              <w:jc w:val="center"/>
              <w:rPr>
                <w:rFonts w:ascii="宋体" w:hAnsi="宋体" w:cs="宋体"/>
                <w:b/>
                <w:sz w:val="24"/>
              </w:rPr>
            </w:pPr>
            <w:r>
              <w:rPr>
                <w:rFonts w:hint="eastAsia" w:ascii="宋体" w:hAnsi="宋体" w:cs="宋体"/>
                <w:b/>
                <w:sz w:val="24"/>
              </w:rPr>
              <w:t>洁净级别</w:t>
            </w:r>
          </w:p>
        </w:tc>
        <w:tc>
          <w:tcPr>
            <w:tcW w:w="1832" w:type="dxa"/>
            <w:shd w:val="clear" w:color="auto" w:fill="C7DAF1"/>
            <w:vAlign w:val="center"/>
          </w:tcPr>
          <w:p>
            <w:pPr>
              <w:pStyle w:val="6"/>
              <w:tabs>
                <w:tab w:val="left" w:pos="284"/>
              </w:tabs>
              <w:adjustRightInd w:val="0"/>
              <w:snapToGrid w:val="0"/>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1</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静配中心</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住院二层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三十万级</w:t>
            </w:r>
          </w:p>
        </w:tc>
        <w:tc>
          <w:tcPr>
            <w:tcW w:w="1832"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3</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供应中心</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负一层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三十万级</w:t>
            </w:r>
          </w:p>
        </w:tc>
        <w:tc>
          <w:tcPr>
            <w:tcW w:w="1832"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4</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急救儿科手术室</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首层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万级</w:t>
            </w:r>
          </w:p>
        </w:tc>
        <w:tc>
          <w:tcPr>
            <w:tcW w:w="1832"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5</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急救产科手术室</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三层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万级</w:t>
            </w:r>
          </w:p>
        </w:tc>
        <w:tc>
          <w:tcPr>
            <w:tcW w:w="1832"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6</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产科手术室（2间手术室）</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住院三层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万级</w:t>
            </w:r>
          </w:p>
        </w:tc>
        <w:tc>
          <w:tcPr>
            <w:tcW w:w="1832"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1间正负压转换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7</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日间手术室（10间手术室）</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门诊四层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万级</w:t>
            </w:r>
          </w:p>
        </w:tc>
        <w:tc>
          <w:tcPr>
            <w:tcW w:w="1832"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8</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介入科（4间手术室）</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门诊楼三层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百级</w:t>
            </w:r>
          </w:p>
        </w:tc>
        <w:tc>
          <w:tcPr>
            <w:tcW w:w="1832" w:type="dxa"/>
            <w:shd w:val="clear" w:color="auto" w:fill="FFFFFF"/>
            <w:vAlign w:val="center"/>
          </w:tcPr>
          <w:p>
            <w:pPr>
              <w:pStyle w:val="6"/>
              <w:widowControl/>
              <w:tabs>
                <w:tab w:val="left" w:pos="284"/>
              </w:tabs>
              <w:adjustRightInd w:val="0"/>
              <w:snapToGrid w:val="0"/>
              <w:jc w:val="left"/>
              <w:rPr>
                <w:rFonts w:ascii="宋体" w:hAnsi="宋体" w:cs="宋体"/>
                <w:kern w:val="0"/>
                <w:sz w:val="22"/>
                <w:szCs w:val="22"/>
              </w:rPr>
            </w:pPr>
            <w:r>
              <w:rPr>
                <w:rFonts w:hint="eastAsia" w:ascii="宋体" w:hAnsi="宋体" w:cs="宋体"/>
                <w:kern w:val="0"/>
                <w:sz w:val="22"/>
                <w:szCs w:val="22"/>
              </w:rPr>
              <w:t>2间百级2间万级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9</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PICU、NICU</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住院楼五层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三十万级</w:t>
            </w:r>
          </w:p>
        </w:tc>
        <w:tc>
          <w:tcPr>
            <w:tcW w:w="1832"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10</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检验科</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住院二层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三十万级</w:t>
            </w:r>
          </w:p>
        </w:tc>
        <w:tc>
          <w:tcPr>
            <w:tcW w:w="1832" w:type="dxa"/>
            <w:shd w:val="clear" w:color="auto" w:fill="FFFFFF"/>
            <w:vAlign w:val="center"/>
          </w:tcPr>
          <w:p>
            <w:pPr>
              <w:pStyle w:val="6"/>
              <w:widowControl/>
              <w:tabs>
                <w:tab w:val="left" w:pos="284"/>
              </w:tabs>
              <w:adjustRightInd w:val="0"/>
              <w:snapToGrid w:val="0"/>
              <w:jc w:val="left"/>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11</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中心手术室（12间手术室）</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门诊五层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千级</w:t>
            </w:r>
          </w:p>
        </w:tc>
        <w:tc>
          <w:tcPr>
            <w:tcW w:w="1832" w:type="dxa"/>
            <w:shd w:val="clear" w:color="auto" w:fill="FFFFFF"/>
            <w:vAlign w:val="center"/>
          </w:tcPr>
          <w:p>
            <w:pPr>
              <w:pStyle w:val="6"/>
              <w:widowControl/>
              <w:tabs>
                <w:tab w:val="left" w:pos="284"/>
              </w:tabs>
              <w:adjustRightInd w:val="0"/>
              <w:snapToGrid w:val="0"/>
              <w:jc w:val="left"/>
              <w:rPr>
                <w:rFonts w:ascii="宋体" w:hAnsi="宋体" w:cs="宋体"/>
                <w:kern w:val="0"/>
                <w:sz w:val="22"/>
                <w:szCs w:val="22"/>
              </w:rPr>
            </w:pPr>
            <w:r>
              <w:rPr>
                <w:rFonts w:hint="eastAsia" w:ascii="宋体" w:hAnsi="宋体" w:cs="宋体"/>
                <w:kern w:val="0"/>
                <w:sz w:val="22"/>
                <w:szCs w:val="22"/>
              </w:rPr>
              <w:t>2间百级10千级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12</w:t>
            </w:r>
          </w:p>
        </w:tc>
        <w:tc>
          <w:tcPr>
            <w:tcW w:w="2641"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新生儿科</w:t>
            </w:r>
          </w:p>
        </w:tc>
        <w:tc>
          <w:tcPr>
            <w:tcW w:w="1420"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住院楼四层</w:t>
            </w:r>
          </w:p>
        </w:tc>
        <w:tc>
          <w:tcPr>
            <w:tcW w:w="1304" w:type="dxa"/>
            <w:shd w:val="clear" w:color="auto" w:fill="FFFFFF"/>
            <w:vAlign w:val="center"/>
          </w:tcPr>
          <w:p>
            <w:pPr>
              <w:pStyle w:val="6"/>
              <w:widowControl/>
              <w:tabs>
                <w:tab w:val="left" w:pos="284"/>
              </w:tabs>
              <w:adjustRightInd w:val="0"/>
              <w:snapToGrid w:val="0"/>
              <w:jc w:val="center"/>
              <w:rPr>
                <w:rFonts w:ascii="宋体" w:hAnsi="宋体" w:cs="宋体"/>
                <w:kern w:val="0"/>
                <w:sz w:val="22"/>
                <w:szCs w:val="22"/>
              </w:rPr>
            </w:pPr>
            <w:r>
              <w:rPr>
                <w:rFonts w:hint="eastAsia" w:ascii="宋体" w:hAnsi="宋体" w:cs="宋体"/>
                <w:kern w:val="0"/>
                <w:sz w:val="22"/>
                <w:szCs w:val="22"/>
              </w:rPr>
              <w:t>万级</w:t>
            </w:r>
          </w:p>
        </w:tc>
        <w:tc>
          <w:tcPr>
            <w:tcW w:w="1832" w:type="dxa"/>
            <w:shd w:val="clear" w:color="auto" w:fill="FFFFFF"/>
            <w:vAlign w:val="center"/>
          </w:tcPr>
          <w:p>
            <w:pPr>
              <w:pStyle w:val="6"/>
              <w:widowControl/>
              <w:tabs>
                <w:tab w:val="left" w:pos="284"/>
              </w:tabs>
              <w:adjustRightInd w:val="0"/>
              <w:snapToGrid w:val="0"/>
              <w:jc w:val="left"/>
              <w:rPr>
                <w:rFonts w:ascii="宋体" w:hAnsi="宋体" w:cs="宋体"/>
                <w:kern w:val="0"/>
                <w:sz w:val="22"/>
                <w:szCs w:val="22"/>
              </w:rPr>
            </w:pPr>
          </w:p>
        </w:tc>
      </w:tr>
    </w:tbl>
    <w:p>
      <w:pPr>
        <w:spacing w:line="360" w:lineRule="auto"/>
        <w:ind w:left="422" w:hanging="422" w:hangingChars="200"/>
        <w:rPr>
          <w:rFonts w:hint="eastAsia" w:ascii="宋体" w:hAnsi="宋体" w:eastAsia="宋体" w:cs="宋体"/>
          <w:b/>
          <w:bCs/>
          <w:szCs w:val="21"/>
        </w:rPr>
      </w:pPr>
    </w:p>
    <w:p>
      <w:pPr>
        <w:spacing w:before="156" w:beforeLines="50" w:line="360" w:lineRule="auto"/>
        <w:jc w:val="left"/>
        <w:rPr>
          <w:rFonts w:ascii="宋体" w:hAnsi="宋体" w:eastAsia="宋体" w:cs="宋体"/>
          <w:bCs/>
          <w:szCs w:val="21"/>
        </w:rPr>
      </w:pPr>
      <w:r>
        <w:rPr>
          <w:rFonts w:hint="eastAsia" w:ascii="宋体" w:hAnsi="宋体" w:eastAsia="宋体" w:cs="宋体"/>
          <w:bCs/>
          <w:szCs w:val="21"/>
        </w:rPr>
        <w:t>备注：检测数据应达到以上洁净等级标准</w:t>
      </w:r>
    </w:p>
    <w:p>
      <w:pPr>
        <w:snapToGrid w:val="0"/>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3.1洁净度级别等于和高于100级洁净室用的高效过滤器，安装前应按《洁净室施工及验收规范》〔GB 50591-2010〕的规定的方法检漏允许利用手术室正压渗漏其前室送风，须符合以下规定的要求，并提供检测数据。</w:t>
      </w:r>
    </w:p>
    <w:tbl>
      <w:tblPr>
        <w:tblStyle w:val="2"/>
        <w:tblW w:w="5000" w:type="pct"/>
        <w:jc w:val="center"/>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autofit"/>
        <w:tblCellMar>
          <w:top w:w="0" w:type="dxa"/>
          <w:left w:w="108" w:type="dxa"/>
          <w:bottom w:w="0" w:type="dxa"/>
          <w:right w:w="108" w:type="dxa"/>
        </w:tblCellMar>
      </w:tblPr>
      <w:tblGrid>
        <w:gridCol w:w="2826"/>
        <w:gridCol w:w="2856"/>
        <w:gridCol w:w="2840"/>
      </w:tblGrid>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tcBorders>
              <w:tl2br w:val="nil"/>
              <w:tr2bl w:val="nil"/>
            </w:tcBorders>
            <w:vAlign w:val="center"/>
          </w:tcPr>
          <w:p>
            <w:pPr>
              <w:jc w:val="center"/>
              <w:rPr>
                <w:rFonts w:ascii="宋体" w:hAnsi="宋体" w:eastAsia="宋体" w:cs="宋体"/>
                <w:b/>
                <w:bCs/>
                <w:szCs w:val="21"/>
              </w:rPr>
            </w:pPr>
            <w:r>
              <w:rPr>
                <w:rFonts w:hint="eastAsia" w:ascii="宋体" w:hAnsi="宋体" w:eastAsia="宋体" w:cs="宋体"/>
                <w:b/>
                <w:bCs/>
                <w:szCs w:val="21"/>
              </w:rPr>
              <w:t>等级</w:t>
            </w:r>
          </w:p>
        </w:tc>
        <w:tc>
          <w:tcPr>
            <w:tcW w:w="1675" w:type="pct"/>
            <w:tcBorders>
              <w:tl2br w:val="nil"/>
              <w:tr2bl w:val="nil"/>
            </w:tcBorders>
            <w:vAlign w:val="center"/>
          </w:tcPr>
          <w:p>
            <w:pPr>
              <w:jc w:val="center"/>
              <w:rPr>
                <w:rFonts w:ascii="宋体" w:hAnsi="宋体" w:eastAsia="宋体" w:cs="宋体"/>
                <w:b/>
                <w:bCs/>
                <w:szCs w:val="21"/>
              </w:rPr>
            </w:pPr>
            <w:r>
              <w:rPr>
                <w:rFonts w:hint="eastAsia" w:ascii="宋体" w:hAnsi="宋体" w:eastAsia="宋体" w:cs="宋体"/>
                <w:b/>
                <w:bCs/>
                <w:szCs w:val="21"/>
              </w:rPr>
              <w:t>最小送风（换气次）</w:t>
            </w:r>
          </w:p>
        </w:tc>
        <w:tc>
          <w:tcPr>
            <w:tcW w:w="1666" w:type="pct"/>
            <w:tcBorders>
              <w:tl2br w:val="nil"/>
              <w:tr2bl w:val="nil"/>
            </w:tcBorders>
            <w:vAlign w:val="center"/>
          </w:tcPr>
          <w:p>
            <w:pPr>
              <w:jc w:val="center"/>
              <w:rPr>
                <w:rFonts w:ascii="宋体" w:hAnsi="宋体" w:eastAsia="宋体" w:cs="宋体"/>
                <w:b/>
                <w:bCs/>
                <w:szCs w:val="21"/>
              </w:rPr>
            </w:pPr>
            <w:r>
              <w:rPr>
                <w:rFonts w:hint="eastAsia" w:ascii="宋体" w:hAnsi="宋体" w:eastAsia="宋体" w:cs="宋体"/>
                <w:b/>
                <w:bCs/>
                <w:szCs w:val="21"/>
              </w:rPr>
              <w:t>新风量</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tcBorders>
              <w:tl2br w:val="nil"/>
              <w:tr2bl w:val="nil"/>
            </w:tcBorders>
            <w:vAlign w:val="center"/>
          </w:tcPr>
          <w:p>
            <w:pPr>
              <w:jc w:val="center"/>
              <w:rPr>
                <w:rFonts w:ascii="宋体" w:hAnsi="宋体" w:eastAsia="宋体" w:cs="宋体"/>
                <w:bCs/>
                <w:szCs w:val="21"/>
              </w:rPr>
            </w:pPr>
            <w:r>
              <w:rPr>
                <w:rFonts w:hint="eastAsia" w:ascii="宋体" w:hAnsi="宋体" w:eastAsia="宋体" w:cs="宋体"/>
                <w:bCs/>
                <w:szCs w:val="21"/>
              </w:rPr>
              <w:t>Ⅰ级</w:t>
            </w:r>
          </w:p>
        </w:tc>
        <w:tc>
          <w:tcPr>
            <w:tcW w:w="1675" w:type="pct"/>
            <w:tcBorders>
              <w:tl2br w:val="nil"/>
              <w:tr2bl w:val="nil"/>
            </w:tcBorders>
            <w:vAlign w:val="center"/>
          </w:tcPr>
          <w:p>
            <w:pPr>
              <w:jc w:val="center"/>
              <w:rPr>
                <w:rFonts w:ascii="宋体" w:hAnsi="宋体" w:eastAsia="宋体" w:cs="宋体"/>
                <w:bCs/>
                <w:szCs w:val="21"/>
              </w:rPr>
            </w:pPr>
            <w:r>
              <w:rPr>
                <w:rFonts w:hint="eastAsia" w:ascii="宋体" w:hAnsi="宋体" w:eastAsia="宋体" w:cs="宋体"/>
                <w:bCs/>
                <w:szCs w:val="21"/>
              </w:rPr>
              <w:t>0.25m/s</w:t>
            </w:r>
            <w:r>
              <w:rPr>
                <w:rFonts w:hint="eastAsia" w:ascii="宋体" w:hAnsi="宋体" w:eastAsia="宋体" w:cs="宋体"/>
                <w:bCs/>
                <w:szCs w:val="21"/>
              </w:rPr>
              <w:tab/>
            </w:r>
          </w:p>
        </w:tc>
        <w:tc>
          <w:tcPr>
            <w:tcW w:w="1666" w:type="pct"/>
            <w:tcBorders>
              <w:tl2br w:val="nil"/>
              <w:tr2bl w:val="nil"/>
            </w:tcBorders>
            <w:vAlign w:val="center"/>
          </w:tcPr>
          <w:p>
            <w:pPr>
              <w:jc w:val="center"/>
              <w:rPr>
                <w:rFonts w:ascii="宋体" w:hAnsi="宋体" w:eastAsia="宋体" w:cs="宋体"/>
                <w:bCs/>
                <w:szCs w:val="21"/>
              </w:rPr>
            </w:pPr>
            <w:r>
              <w:rPr>
                <w:rFonts w:hint="eastAsia" w:ascii="宋体" w:hAnsi="宋体" w:eastAsia="宋体" w:cs="宋体"/>
                <w:bCs/>
                <w:szCs w:val="21"/>
              </w:rPr>
              <w:t>1000 m³/h</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tcBorders>
              <w:tl2br w:val="nil"/>
              <w:tr2bl w:val="nil"/>
            </w:tcBorders>
            <w:vAlign w:val="center"/>
          </w:tcPr>
          <w:p>
            <w:pPr>
              <w:jc w:val="center"/>
              <w:rPr>
                <w:rFonts w:ascii="宋体" w:hAnsi="宋体" w:eastAsia="宋体" w:cs="宋体"/>
                <w:bCs/>
                <w:szCs w:val="21"/>
              </w:rPr>
            </w:pPr>
            <w:r>
              <w:rPr>
                <w:rFonts w:hint="eastAsia" w:ascii="宋体" w:hAnsi="宋体" w:eastAsia="宋体" w:cs="宋体"/>
                <w:bCs/>
                <w:szCs w:val="21"/>
              </w:rPr>
              <w:t>Ⅱ级</w:t>
            </w:r>
          </w:p>
        </w:tc>
        <w:tc>
          <w:tcPr>
            <w:tcW w:w="1675" w:type="pct"/>
            <w:tcBorders>
              <w:tl2br w:val="nil"/>
              <w:tr2bl w:val="nil"/>
            </w:tcBorders>
            <w:vAlign w:val="center"/>
          </w:tcPr>
          <w:p>
            <w:pPr>
              <w:jc w:val="center"/>
              <w:rPr>
                <w:rFonts w:ascii="宋体" w:hAnsi="宋体" w:eastAsia="宋体" w:cs="宋体"/>
                <w:bCs/>
                <w:szCs w:val="21"/>
              </w:rPr>
            </w:pPr>
            <w:r>
              <w:rPr>
                <w:rFonts w:hint="eastAsia" w:ascii="宋体" w:hAnsi="宋体" w:eastAsia="宋体" w:cs="宋体"/>
                <w:bCs/>
                <w:szCs w:val="21"/>
              </w:rPr>
              <w:t>30 h-1</w:t>
            </w:r>
            <w:r>
              <w:rPr>
                <w:rFonts w:hint="eastAsia" w:ascii="宋体" w:hAnsi="宋体" w:eastAsia="宋体" w:cs="宋体"/>
                <w:bCs/>
                <w:szCs w:val="21"/>
              </w:rPr>
              <w:tab/>
            </w:r>
            <w:r>
              <w:rPr>
                <w:rFonts w:hint="eastAsia" w:ascii="宋体" w:hAnsi="宋体" w:eastAsia="宋体" w:cs="宋体"/>
                <w:bCs/>
                <w:szCs w:val="21"/>
              </w:rPr>
              <w:t>800 m³/h</w:t>
            </w:r>
          </w:p>
        </w:tc>
        <w:tc>
          <w:tcPr>
            <w:tcW w:w="1666" w:type="pct"/>
            <w:tcBorders>
              <w:tl2br w:val="nil"/>
              <w:tr2bl w:val="nil"/>
            </w:tcBorders>
            <w:vAlign w:val="center"/>
          </w:tcPr>
          <w:p>
            <w:pPr>
              <w:jc w:val="center"/>
              <w:rPr>
                <w:rFonts w:ascii="宋体" w:hAnsi="宋体" w:eastAsia="宋体" w:cs="宋体"/>
                <w:bCs/>
                <w:szCs w:val="21"/>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tcBorders>
              <w:tl2br w:val="nil"/>
              <w:tr2bl w:val="nil"/>
            </w:tcBorders>
            <w:vAlign w:val="center"/>
          </w:tcPr>
          <w:p>
            <w:pPr>
              <w:jc w:val="center"/>
              <w:rPr>
                <w:rFonts w:ascii="宋体" w:hAnsi="宋体" w:eastAsia="宋体" w:cs="宋体"/>
                <w:bCs/>
                <w:szCs w:val="21"/>
              </w:rPr>
            </w:pPr>
            <w:r>
              <w:rPr>
                <w:rFonts w:hint="eastAsia" w:ascii="宋体" w:hAnsi="宋体" w:eastAsia="宋体" w:cs="宋体"/>
                <w:bCs/>
                <w:szCs w:val="21"/>
              </w:rPr>
              <w:t>Ⅲ级</w:t>
            </w:r>
          </w:p>
        </w:tc>
        <w:tc>
          <w:tcPr>
            <w:tcW w:w="1675" w:type="pct"/>
            <w:tcBorders>
              <w:tl2br w:val="nil"/>
              <w:tr2bl w:val="nil"/>
            </w:tcBorders>
            <w:vAlign w:val="center"/>
          </w:tcPr>
          <w:p>
            <w:pPr>
              <w:jc w:val="center"/>
              <w:rPr>
                <w:rFonts w:ascii="宋体" w:hAnsi="宋体" w:eastAsia="宋体" w:cs="宋体"/>
                <w:bCs/>
                <w:szCs w:val="21"/>
              </w:rPr>
            </w:pPr>
            <w:r>
              <w:rPr>
                <w:rFonts w:hint="eastAsia" w:ascii="宋体" w:hAnsi="宋体" w:eastAsia="宋体" w:cs="宋体"/>
                <w:bCs/>
                <w:szCs w:val="21"/>
              </w:rPr>
              <w:t>18 h-1</w:t>
            </w:r>
            <w:r>
              <w:rPr>
                <w:rFonts w:hint="eastAsia" w:ascii="宋体" w:hAnsi="宋体" w:eastAsia="宋体" w:cs="宋体"/>
                <w:bCs/>
                <w:szCs w:val="21"/>
              </w:rPr>
              <w:tab/>
            </w:r>
            <w:r>
              <w:rPr>
                <w:rFonts w:hint="eastAsia" w:ascii="宋体" w:hAnsi="宋体" w:eastAsia="宋体" w:cs="宋体"/>
                <w:bCs/>
                <w:szCs w:val="21"/>
              </w:rPr>
              <w:t>800 m³/h</w:t>
            </w:r>
          </w:p>
        </w:tc>
        <w:tc>
          <w:tcPr>
            <w:tcW w:w="1666" w:type="pct"/>
            <w:tcBorders>
              <w:tl2br w:val="nil"/>
              <w:tr2bl w:val="nil"/>
            </w:tcBorders>
            <w:vAlign w:val="center"/>
          </w:tcPr>
          <w:p>
            <w:pPr>
              <w:jc w:val="center"/>
              <w:rPr>
                <w:rFonts w:ascii="宋体" w:hAnsi="宋体" w:eastAsia="宋体" w:cs="宋体"/>
                <w:bCs/>
                <w:szCs w:val="21"/>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tcBorders>
              <w:tl2br w:val="nil"/>
              <w:tr2bl w:val="nil"/>
            </w:tcBorders>
            <w:vAlign w:val="center"/>
          </w:tcPr>
          <w:p>
            <w:pPr>
              <w:jc w:val="center"/>
              <w:rPr>
                <w:rFonts w:ascii="宋体" w:hAnsi="宋体" w:eastAsia="宋体" w:cs="宋体"/>
                <w:bCs/>
                <w:szCs w:val="21"/>
              </w:rPr>
            </w:pPr>
            <w:r>
              <w:rPr>
                <w:rFonts w:hint="eastAsia" w:ascii="宋体" w:hAnsi="宋体" w:eastAsia="宋体" w:cs="宋体"/>
                <w:bCs/>
                <w:szCs w:val="21"/>
              </w:rPr>
              <w:t>Ⅳ级</w:t>
            </w:r>
          </w:p>
        </w:tc>
        <w:tc>
          <w:tcPr>
            <w:tcW w:w="1675" w:type="pct"/>
            <w:tcBorders>
              <w:tl2br w:val="nil"/>
              <w:tr2bl w:val="nil"/>
            </w:tcBorders>
            <w:vAlign w:val="center"/>
          </w:tcPr>
          <w:p>
            <w:pPr>
              <w:jc w:val="center"/>
              <w:rPr>
                <w:rFonts w:ascii="宋体" w:hAnsi="宋体" w:eastAsia="宋体" w:cs="宋体"/>
                <w:bCs/>
                <w:szCs w:val="21"/>
              </w:rPr>
            </w:pPr>
            <w:r>
              <w:rPr>
                <w:rFonts w:hint="eastAsia" w:ascii="宋体" w:hAnsi="宋体" w:eastAsia="宋体" w:cs="宋体"/>
                <w:bCs/>
                <w:szCs w:val="21"/>
              </w:rPr>
              <w:t>12 h-1600 m³/h</w:t>
            </w:r>
          </w:p>
        </w:tc>
        <w:tc>
          <w:tcPr>
            <w:tcW w:w="1666" w:type="pct"/>
            <w:tcBorders>
              <w:tl2br w:val="nil"/>
              <w:tr2bl w:val="nil"/>
            </w:tcBorders>
            <w:vAlign w:val="center"/>
          </w:tcPr>
          <w:p>
            <w:pPr>
              <w:jc w:val="center"/>
              <w:rPr>
                <w:rFonts w:ascii="宋体" w:hAnsi="宋体" w:eastAsia="宋体" w:cs="宋体"/>
                <w:bCs/>
                <w:szCs w:val="21"/>
              </w:rPr>
            </w:pPr>
          </w:p>
        </w:tc>
      </w:tr>
    </w:tbl>
    <w:p>
      <w:pPr>
        <w:spacing w:before="156" w:beforeLines="50"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3.2 中国医院消毒卫生标准GB15928-1995</w:t>
      </w:r>
    </w:p>
    <w:tbl>
      <w:tblPr>
        <w:tblStyle w:val="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20"/>
        <w:gridCol w:w="4238"/>
        <w:gridCol w:w="1088"/>
        <w:gridCol w:w="1087"/>
        <w:gridCol w:w="10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vMerge w:val="restart"/>
            <w:tcBorders>
              <w:tl2br w:val="nil"/>
              <w:tr2bl w:val="nil"/>
            </w:tcBorders>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环境类别</w:t>
            </w:r>
          </w:p>
        </w:tc>
        <w:tc>
          <w:tcPr>
            <w:tcW w:w="2486" w:type="pct"/>
            <w:vMerge w:val="restart"/>
            <w:tcBorders>
              <w:tl2br w:val="nil"/>
              <w:tr2bl w:val="nil"/>
            </w:tcBorders>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场所范围</w:t>
            </w:r>
          </w:p>
        </w:tc>
        <w:tc>
          <w:tcPr>
            <w:tcW w:w="1915" w:type="pct"/>
            <w:gridSpan w:val="3"/>
            <w:tcBorders>
              <w:tl2br w:val="nil"/>
              <w:tr2bl w:val="nil"/>
            </w:tcBorders>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卫生标准（cfu/cm</w:t>
            </w:r>
            <w:r>
              <w:rPr>
                <w:rFonts w:hint="eastAsia" w:ascii="宋体" w:hAnsi="宋体" w:eastAsia="宋体" w:cs="宋体"/>
                <w:b/>
                <w:bCs/>
                <w:kern w:val="0"/>
                <w:szCs w:val="21"/>
                <w:vertAlign w:val="superscript"/>
              </w:rPr>
              <w:t>2</w:t>
            </w:r>
            <w:r>
              <w:rPr>
                <w:rFonts w:hint="eastAsia" w:ascii="宋体" w:hAnsi="宋体" w:eastAsia="宋体" w:cs="宋体"/>
                <w:b/>
                <w:bCs/>
                <w:kern w:val="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vMerge w:val="continue"/>
            <w:tcBorders>
              <w:tl2br w:val="nil"/>
              <w:tr2bl w:val="nil"/>
            </w:tcBorders>
            <w:vAlign w:val="center"/>
          </w:tcPr>
          <w:p>
            <w:pPr>
              <w:widowControl/>
              <w:jc w:val="left"/>
              <w:rPr>
                <w:rFonts w:ascii="宋体" w:hAnsi="宋体" w:eastAsia="宋体" w:cs="宋体"/>
                <w:b/>
                <w:bCs/>
                <w:kern w:val="0"/>
                <w:szCs w:val="21"/>
              </w:rPr>
            </w:pPr>
          </w:p>
        </w:tc>
        <w:tc>
          <w:tcPr>
            <w:tcW w:w="2486" w:type="pct"/>
            <w:vMerge w:val="continue"/>
            <w:tcBorders>
              <w:tl2br w:val="nil"/>
              <w:tr2bl w:val="nil"/>
            </w:tcBorders>
            <w:vAlign w:val="center"/>
          </w:tcPr>
          <w:p>
            <w:pPr>
              <w:widowControl/>
              <w:jc w:val="left"/>
              <w:rPr>
                <w:rFonts w:ascii="宋体" w:hAnsi="宋体" w:eastAsia="宋体" w:cs="宋体"/>
                <w:b/>
                <w:bCs/>
                <w:kern w:val="0"/>
                <w:szCs w:val="21"/>
              </w:rPr>
            </w:pPr>
          </w:p>
        </w:tc>
        <w:tc>
          <w:tcPr>
            <w:tcW w:w="638" w:type="pct"/>
            <w:tcBorders>
              <w:tl2br w:val="nil"/>
              <w:tr2bl w:val="nil"/>
            </w:tcBorders>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空气（m</w:t>
            </w:r>
            <w:r>
              <w:rPr>
                <w:rFonts w:hint="eastAsia" w:ascii="宋体" w:hAnsi="宋体" w:eastAsia="宋体" w:cs="宋体"/>
                <w:b/>
                <w:bCs/>
                <w:kern w:val="0"/>
                <w:szCs w:val="21"/>
                <w:vertAlign w:val="superscript"/>
              </w:rPr>
              <w:t>3</w:t>
            </w:r>
            <w:r>
              <w:rPr>
                <w:rFonts w:hint="eastAsia" w:ascii="宋体" w:hAnsi="宋体" w:eastAsia="宋体" w:cs="宋体"/>
                <w:b/>
                <w:bCs/>
                <w:kern w:val="0"/>
                <w:szCs w:val="21"/>
              </w:rPr>
              <w:t>）</w:t>
            </w:r>
          </w:p>
        </w:tc>
        <w:tc>
          <w:tcPr>
            <w:tcW w:w="638" w:type="pct"/>
            <w:tcBorders>
              <w:tl2br w:val="nil"/>
              <w:tr2bl w:val="nil"/>
            </w:tcBorders>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物体表面</w:t>
            </w:r>
          </w:p>
        </w:tc>
        <w:tc>
          <w:tcPr>
            <w:tcW w:w="638" w:type="pct"/>
            <w:tcBorders>
              <w:tl2br w:val="nil"/>
              <w:tr2bl w:val="nil"/>
            </w:tcBorders>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手上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Ⅰ类</w:t>
            </w:r>
          </w:p>
        </w:tc>
        <w:tc>
          <w:tcPr>
            <w:tcW w:w="2486"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层流洁净手术室、层流洁净病房</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≤5</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Ⅱ类</w:t>
            </w:r>
          </w:p>
        </w:tc>
        <w:tc>
          <w:tcPr>
            <w:tcW w:w="2486"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普通手术室、产房、婴儿室、隔离室烧伤病房、ICU、供应室无菌区和早产儿室</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≤200</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≤5</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Ⅲ类</w:t>
            </w:r>
          </w:p>
        </w:tc>
        <w:tc>
          <w:tcPr>
            <w:tcW w:w="2486"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儿科病房、妇产科检查室、注射室、治疗室、急诊室、化验室、普通病房、供应室清洁区</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≤500</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Ⅳ类</w:t>
            </w:r>
          </w:p>
        </w:tc>
        <w:tc>
          <w:tcPr>
            <w:tcW w:w="2486"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传染病科和传染病房</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≤15</w:t>
            </w:r>
          </w:p>
        </w:tc>
        <w:tc>
          <w:tcPr>
            <w:tcW w:w="638" w:type="pct"/>
            <w:tcBorders>
              <w:tl2br w:val="nil"/>
              <w:tr2bl w:val="nil"/>
            </w:tcBorders>
            <w:noWrap/>
            <w:vAlign w:val="center"/>
          </w:tcPr>
          <w:p>
            <w:pPr>
              <w:widowControl/>
              <w:jc w:val="center"/>
              <w:rPr>
                <w:rFonts w:ascii="宋体" w:hAnsi="宋体" w:eastAsia="宋体" w:cs="宋体"/>
                <w:bCs/>
                <w:kern w:val="0"/>
                <w:szCs w:val="21"/>
              </w:rPr>
            </w:pPr>
            <w:r>
              <w:rPr>
                <w:rFonts w:hint="eastAsia" w:ascii="宋体" w:hAnsi="宋体" w:eastAsia="宋体" w:cs="宋体"/>
                <w:bCs/>
                <w:kern w:val="0"/>
                <w:szCs w:val="21"/>
              </w:rPr>
              <w:t>≤15</w:t>
            </w:r>
          </w:p>
        </w:tc>
      </w:tr>
    </w:tbl>
    <w:p>
      <w:pPr>
        <w:spacing w:before="156" w:beforeLines="50"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3.3 除每次安装结束必须检测外，须定期检测的各院区科室：</w:t>
      </w:r>
    </w:p>
    <w:p>
      <w:pPr>
        <w:spacing w:line="360" w:lineRule="auto"/>
        <w:ind w:left="630" w:hanging="630" w:hangingChars="300"/>
        <w:jc w:val="left"/>
        <w:rPr>
          <w:rFonts w:ascii="宋体" w:hAnsi="宋体" w:eastAsia="宋体" w:cs="宋体"/>
          <w:bCs/>
          <w:color w:val="auto"/>
          <w:szCs w:val="21"/>
        </w:rPr>
      </w:pPr>
      <w:r>
        <w:rPr>
          <w:rFonts w:hint="eastAsia" w:ascii="宋体" w:hAnsi="宋体" w:eastAsia="宋体" w:cs="宋体"/>
          <w:bCs/>
          <w:szCs w:val="21"/>
        </w:rPr>
        <w:t>3.3.1</w:t>
      </w:r>
      <w:r>
        <w:rPr>
          <w:rFonts w:hint="eastAsia" w:ascii="宋体" w:hAnsi="宋体" w:eastAsia="宋体" w:cs="宋体"/>
          <w:bCs/>
          <w:color w:val="auto"/>
          <w:szCs w:val="21"/>
        </w:rPr>
        <w:t xml:space="preserve"> </w:t>
      </w:r>
      <w:r>
        <w:rPr>
          <w:rFonts w:hint="eastAsia" w:ascii="宋体" w:hAnsi="宋体" w:eastAsia="宋体" w:cs="宋体"/>
          <w:bCs/>
          <w:color w:val="auto"/>
          <w:szCs w:val="21"/>
          <w:lang w:val="en-US" w:eastAsia="zh-CN"/>
        </w:rPr>
        <w:t>广州妇女儿童医疗中心增城</w:t>
      </w:r>
      <w:r>
        <w:rPr>
          <w:rFonts w:hint="eastAsia" w:ascii="宋体" w:hAnsi="宋体" w:eastAsia="宋体" w:cs="宋体"/>
          <w:bCs/>
          <w:color w:val="auto"/>
          <w:szCs w:val="21"/>
        </w:rPr>
        <w:t>院区：手术室、移植仓、脐血库、PICU、CICU心脏重症监护，以上区域每季度例行一次检测，提供检测报告（数据包含尘埃粒子数、换气次数、风速、压差）；配液中心、中心供应室、中心手术室生活区及其它功能区、中心手术室腔镜中心、新生儿科重症监护室，以上区域每半年例行一次检测，提供检测报告（数据包含尘埃粒子数、换气次数、风速、压差)；以上检测报告资料</w:t>
      </w:r>
      <w:r>
        <w:rPr>
          <w:rFonts w:hint="eastAsia" w:ascii="宋体" w:hAnsi="宋体" w:eastAsia="宋体" w:cs="宋体"/>
          <w:bCs/>
          <w:color w:val="auto"/>
          <w:szCs w:val="21"/>
          <w:lang w:eastAsia="zh-CN"/>
        </w:rPr>
        <w:t>成交供应商</w:t>
      </w:r>
      <w:r>
        <w:rPr>
          <w:rFonts w:hint="eastAsia" w:ascii="宋体" w:hAnsi="宋体" w:eastAsia="宋体" w:cs="宋体"/>
          <w:bCs/>
          <w:color w:val="auto"/>
          <w:szCs w:val="21"/>
        </w:rPr>
        <w:t>完成后，需加盖公章交采购人相关部门存档。</w:t>
      </w:r>
    </w:p>
    <w:p>
      <w:pPr>
        <w:spacing w:line="360" w:lineRule="auto"/>
        <w:ind w:left="420" w:hanging="420" w:hangingChars="200"/>
        <w:jc w:val="left"/>
        <w:rPr>
          <w:rFonts w:ascii="宋体" w:hAnsi="宋体" w:eastAsia="宋体" w:cs="宋体"/>
          <w:bCs/>
          <w:color w:val="auto"/>
          <w:szCs w:val="21"/>
        </w:rPr>
      </w:pPr>
      <w:r>
        <w:rPr>
          <w:rFonts w:hint="eastAsia" w:ascii="宋体" w:hAnsi="宋体" w:eastAsia="宋体" w:cs="宋体"/>
          <w:bCs/>
          <w:color w:val="auto"/>
          <w:szCs w:val="21"/>
        </w:rPr>
        <w:t>3.3.</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rPr>
        <w:t xml:space="preserve"> 检测数据满足：</w:t>
      </w:r>
    </w:p>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标准：洁净室及洁净区空气中悬浮粒子洁净度等级(ISO146441)：</w:t>
      </w:r>
    </w:p>
    <w:tbl>
      <w:tblPr>
        <w:tblStyle w:val="2"/>
        <w:tblW w:w="488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9"/>
        <w:gridCol w:w="1176"/>
        <w:gridCol w:w="1176"/>
        <w:gridCol w:w="1176"/>
        <w:gridCol w:w="1176"/>
        <w:gridCol w:w="1176"/>
        <w:gridCol w:w="11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vMerge w:val="restart"/>
            <w:tcBorders>
              <w:tl2br w:val="nil"/>
              <w:tr2bl w:val="nil"/>
            </w:tcBorders>
            <w:noWrap/>
            <w:vAlign w:val="center"/>
          </w:tcPr>
          <w:p>
            <w:pPr>
              <w:jc w:val="center"/>
              <w:rPr>
                <w:rFonts w:ascii="宋体" w:hAnsi="宋体" w:eastAsia="宋体" w:cs="宋体"/>
                <w:b/>
                <w:bCs/>
                <w:szCs w:val="21"/>
              </w:rPr>
            </w:pPr>
            <w:r>
              <w:rPr>
                <w:rFonts w:hint="eastAsia" w:ascii="宋体" w:hAnsi="宋体" w:eastAsia="宋体" w:cs="宋体"/>
                <w:b/>
                <w:szCs w:val="21"/>
              </w:rPr>
              <w:t>空气洁净等级</w:t>
            </w:r>
          </w:p>
        </w:tc>
        <w:tc>
          <w:tcPr>
            <w:tcW w:w="4243" w:type="pct"/>
            <w:gridSpan w:val="6"/>
            <w:tcBorders>
              <w:tl2br w:val="nil"/>
              <w:tr2bl w:val="nil"/>
            </w:tcBorders>
            <w:noWrap/>
            <w:vAlign w:val="center"/>
          </w:tcPr>
          <w:p>
            <w:pPr>
              <w:jc w:val="center"/>
              <w:rPr>
                <w:rFonts w:ascii="宋体" w:hAnsi="宋体" w:eastAsia="宋体" w:cs="宋体"/>
                <w:b/>
                <w:bCs/>
                <w:szCs w:val="21"/>
              </w:rPr>
            </w:pPr>
            <w:r>
              <w:rPr>
                <w:rFonts w:hint="eastAsia" w:ascii="宋体" w:hAnsi="宋体" w:eastAsia="宋体" w:cs="宋体"/>
                <w:b/>
                <w:bCs/>
                <w:szCs w:val="21"/>
              </w:rPr>
              <w:t>大于或等于表中粒径的最大浓度限值（PC/</w:t>
            </w:r>
            <w:r>
              <w:rPr>
                <w:rFonts w:hint="eastAsia" w:ascii="宋体" w:hAnsi="宋体" w:eastAsia="宋体" w:cs="宋体"/>
                <w:b/>
                <w:bCs/>
                <w:szCs w:val="21"/>
                <w:shd w:val="clear" w:color="auto" w:fill="FFFFFF"/>
              </w:rPr>
              <w:t>m³)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vMerge w:val="continue"/>
            <w:tcBorders>
              <w:tl2br w:val="nil"/>
              <w:tr2bl w:val="nil"/>
            </w:tcBorders>
            <w:vAlign w:val="center"/>
          </w:tcPr>
          <w:p>
            <w:pPr>
              <w:widowControl/>
              <w:jc w:val="left"/>
              <w:rPr>
                <w:rFonts w:ascii="宋体" w:hAnsi="宋体" w:eastAsia="宋体" w:cs="宋体"/>
                <w:b/>
                <w:bCs/>
                <w:szCs w:val="21"/>
              </w:rPr>
            </w:pPr>
          </w:p>
        </w:tc>
        <w:tc>
          <w:tcPr>
            <w:tcW w:w="706" w:type="pct"/>
            <w:tcBorders>
              <w:tl2br w:val="nil"/>
              <w:tr2bl w:val="nil"/>
            </w:tcBorders>
            <w:noWrap/>
            <w:vAlign w:val="center"/>
          </w:tcPr>
          <w:p>
            <w:pPr>
              <w:jc w:val="center"/>
              <w:rPr>
                <w:rFonts w:ascii="宋体" w:hAnsi="宋体" w:eastAsia="宋体" w:cs="宋体"/>
                <w:b/>
                <w:bCs/>
                <w:szCs w:val="21"/>
              </w:rPr>
            </w:pPr>
            <w:r>
              <w:rPr>
                <w:rFonts w:hint="eastAsia" w:ascii="宋体" w:hAnsi="宋体" w:eastAsia="宋体" w:cs="宋体"/>
                <w:b/>
                <w:bCs/>
                <w:szCs w:val="21"/>
              </w:rPr>
              <w:t>0.1UM</w:t>
            </w:r>
          </w:p>
        </w:tc>
        <w:tc>
          <w:tcPr>
            <w:tcW w:w="706" w:type="pct"/>
            <w:tcBorders>
              <w:tl2br w:val="nil"/>
              <w:tr2bl w:val="nil"/>
            </w:tcBorders>
            <w:noWrap/>
            <w:vAlign w:val="center"/>
          </w:tcPr>
          <w:p>
            <w:pPr>
              <w:jc w:val="center"/>
              <w:rPr>
                <w:rFonts w:ascii="宋体" w:hAnsi="宋体" w:eastAsia="宋体" w:cs="宋体"/>
                <w:b/>
                <w:bCs/>
                <w:szCs w:val="21"/>
              </w:rPr>
            </w:pPr>
            <w:r>
              <w:rPr>
                <w:rFonts w:hint="eastAsia" w:ascii="宋体" w:hAnsi="宋体" w:eastAsia="宋体" w:cs="宋体"/>
                <w:b/>
                <w:bCs/>
                <w:szCs w:val="21"/>
              </w:rPr>
              <w:t>0.2UM</w:t>
            </w:r>
          </w:p>
        </w:tc>
        <w:tc>
          <w:tcPr>
            <w:tcW w:w="706" w:type="pct"/>
            <w:tcBorders>
              <w:tl2br w:val="nil"/>
              <w:tr2bl w:val="nil"/>
            </w:tcBorders>
            <w:noWrap/>
            <w:vAlign w:val="center"/>
          </w:tcPr>
          <w:p>
            <w:pPr>
              <w:jc w:val="center"/>
              <w:rPr>
                <w:rFonts w:ascii="宋体" w:hAnsi="宋体" w:eastAsia="宋体" w:cs="宋体"/>
                <w:b/>
                <w:bCs/>
                <w:szCs w:val="21"/>
              </w:rPr>
            </w:pPr>
            <w:r>
              <w:rPr>
                <w:rFonts w:hint="eastAsia" w:ascii="宋体" w:hAnsi="宋体" w:eastAsia="宋体" w:cs="宋体"/>
                <w:b/>
                <w:bCs/>
                <w:szCs w:val="21"/>
              </w:rPr>
              <w:t>0.3UM</w:t>
            </w:r>
          </w:p>
        </w:tc>
        <w:tc>
          <w:tcPr>
            <w:tcW w:w="706" w:type="pct"/>
            <w:tcBorders>
              <w:tl2br w:val="nil"/>
              <w:tr2bl w:val="nil"/>
            </w:tcBorders>
            <w:noWrap/>
            <w:vAlign w:val="center"/>
          </w:tcPr>
          <w:p>
            <w:pPr>
              <w:jc w:val="center"/>
              <w:rPr>
                <w:rFonts w:ascii="宋体" w:hAnsi="宋体" w:eastAsia="宋体" w:cs="宋体"/>
                <w:b/>
                <w:bCs/>
                <w:szCs w:val="21"/>
              </w:rPr>
            </w:pPr>
            <w:r>
              <w:rPr>
                <w:rFonts w:hint="eastAsia" w:ascii="宋体" w:hAnsi="宋体" w:eastAsia="宋体" w:cs="宋体"/>
                <w:b/>
                <w:bCs/>
                <w:szCs w:val="21"/>
              </w:rPr>
              <w:t>0.5UM</w:t>
            </w:r>
          </w:p>
        </w:tc>
        <w:tc>
          <w:tcPr>
            <w:tcW w:w="706" w:type="pct"/>
            <w:tcBorders>
              <w:tl2br w:val="nil"/>
              <w:tr2bl w:val="nil"/>
            </w:tcBorders>
            <w:noWrap/>
            <w:vAlign w:val="center"/>
          </w:tcPr>
          <w:p>
            <w:pPr>
              <w:jc w:val="center"/>
              <w:rPr>
                <w:rFonts w:ascii="宋体" w:hAnsi="宋体" w:eastAsia="宋体" w:cs="宋体"/>
                <w:b/>
                <w:bCs/>
                <w:szCs w:val="21"/>
              </w:rPr>
            </w:pPr>
            <w:r>
              <w:rPr>
                <w:rFonts w:hint="eastAsia" w:ascii="宋体" w:hAnsi="宋体" w:eastAsia="宋体" w:cs="宋体"/>
                <w:b/>
                <w:bCs/>
                <w:szCs w:val="21"/>
              </w:rPr>
              <w:t>1UM</w:t>
            </w:r>
          </w:p>
        </w:tc>
        <w:tc>
          <w:tcPr>
            <w:tcW w:w="709" w:type="pct"/>
            <w:tcBorders>
              <w:tl2br w:val="nil"/>
              <w:tr2bl w:val="nil"/>
            </w:tcBorders>
            <w:noWrap/>
            <w:vAlign w:val="center"/>
          </w:tcPr>
          <w:p>
            <w:pPr>
              <w:jc w:val="center"/>
              <w:rPr>
                <w:rFonts w:ascii="宋体" w:hAnsi="宋体" w:eastAsia="宋体" w:cs="宋体"/>
                <w:b/>
                <w:bCs/>
                <w:szCs w:val="21"/>
              </w:rPr>
            </w:pPr>
            <w:r>
              <w:rPr>
                <w:rFonts w:hint="eastAsia" w:ascii="宋体" w:hAnsi="宋体" w:eastAsia="宋体" w:cs="宋体"/>
                <w:b/>
                <w:bCs/>
                <w:szCs w:val="21"/>
              </w:rPr>
              <w:t>3UM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w:t>
            </w: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p>
        </w:tc>
        <w:tc>
          <w:tcPr>
            <w:tcW w:w="709" w:type="pct"/>
            <w:tcBorders>
              <w:tl2br w:val="nil"/>
              <w:tr2bl w:val="nil"/>
            </w:tcBorders>
            <w:noWrap/>
            <w:vAlign w:val="center"/>
          </w:tcPr>
          <w:p>
            <w:pPr>
              <w:jc w:val="center"/>
              <w:rPr>
                <w:rFonts w:ascii="宋体" w:hAnsi="宋体" w:eastAsia="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24</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4</w:t>
            </w:r>
          </w:p>
        </w:tc>
        <w:tc>
          <w:tcPr>
            <w:tcW w:w="706" w:type="pct"/>
            <w:tcBorders>
              <w:tl2br w:val="nil"/>
              <w:tr2bl w:val="nil"/>
            </w:tcBorders>
            <w:noWrap/>
            <w:vAlign w:val="center"/>
          </w:tcPr>
          <w:p>
            <w:pPr>
              <w:jc w:val="center"/>
              <w:rPr>
                <w:rFonts w:ascii="宋体" w:hAnsi="宋体" w:eastAsia="宋体" w:cs="宋体"/>
                <w:bCs/>
                <w:szCs w:val="21"/>
              </w:rPr>
            </w:pPr>
          </w:p>
        </w:tc>
        <w:tc>
          <w:tcPr>
            <w:tcW w:w="709" w:type="pct"/>
            <w:tcBorders>
              <w:tl2br w:val="nil"/>
              <w:tr2bl w:val="nil"/>
            </w:tcBorders>
            <w:noWrap/>
            <w:vAlign w:val="center"/>
          </w:tcPr>
          <w:p>
            <w:pPr>
              <w:jc w:val="center"/>
              <w:rPr>
                <w:rFonts w:ascii="宋体" w:hAnsi="宋体" w:eastAsia="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3</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1OOO</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237</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102</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35</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8</w:t>
            </w:r>
          </w:p>
        </w:tc>
        <w:tc>
          <w:tcPr>
            <w:tcW w:w="709" w:type="pct"/>
            <w:tcBorders>
              <w:tl2br w:val="nil"/>
              <w:tr2bl w:val="nil"/>
            </w:tcBorders>
            <w:noWrap/>
            <w:vAlign w:val="center"/>
          </w:tcPr>
          <w:p>
            <w:pPr>
              <w:jc w:val="center"/>
              <w:rPr>
                <w:rFonts w:ascii="宋体" w:hAnsi="宋体" w:eastAsia="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4</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1OOOO</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2370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1020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352</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83</w:t>
            </w:r>
          </w:p>
        </w:tc>
        <w:tc>
          <w:tcPr>
            <w:tcW w:w="709" w:type="pct"/>
            <w:tcBorders>
              <w:tl2br w:val="nil"/>
              <w:tr2bl w:val="nil"/>
            </w:tcBorders>
            <w:noWrap/>
            <w:vAlign w:val="center"/>
          </w:tcPr>
          <w:p>
            <w:pPr>
              <w:jc w:val="center"/>
              <w:rPr>
                <w:rFonts w:ascii="宋体" w:hAnsi="宋体" w:eastAsia="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5</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100000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23700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10200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3520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832</w:t>
            </w:r>
          </w:p>
        </w:tc>
        <w:tc>
          <w:tcPr>
            <w:tcW w:w="709"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6</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1OOOOOO</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237000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102000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35200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8320</w:t>
            </w:r>
          </w:p>
        </w:tc>
        <w:tc>
          <w:tcPr>
            <w:tcW w:w="709"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7</w:t>
            </w: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352000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83200</w:t>
            </w:r>
          </w:p>
        </w:tc>
        <w:tc>
          <w:tcPr>
            <w:tcW w:w="709"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2930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8</w:t>
            </w: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3520000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832000</w:t>
            </w:r>
          </w:p>
        </w:tc>
        <w:tc>
          <w:tcPr>
            <w:tcW w:w="709"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29300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9</w:t>
            </w: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35200000</w:t>
            </w:r>
          </w:p>
        </w:tc>
        <w:tc>
          <w:tcPr>
            <w:tcW w:w="706"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8320000</w:t>
            </w:r>
          </w:p>
        </w:tc>
        <w:tc>
          <w:tcPr>
            <w:tcW w:w="709" w:type="pct"/>
            <w:tcBorders>
              <w:tl2br w:val="nil"/>
              <w:tr2bl w:val="nil"/>
            </w:tcBorders>
            <w:noWrap/>
            <w:vAlign w:val="center"/>
          </w:tcPr>
          <w:p>
            <w:pPr>
              <w:jc w:val="center"/>
              <w:rPr>
                <w:rFonts w:ascii="宋体" w:hAnsi="宋体" w:eastAsia="宋体" w:cs="宋体"/>
                <w:bCs/>
                <w:szCs w:val="21"/>
              </w:rPr>
            </w:pPr>
            <w:r>
              <w:rPr>
                <w:rFonts w:hint="eastAsia" w:ascii="宋体" w:hAnsi="宋体" w:eastAsia="宋体" w:cs="宋体"/>
                <w:bCs/>
                <w:szCs w:val="21"/>
              </w:rPr>
              <w:t>293000</w:t>
            </w:r>
          </w:p>
        </w:tc>
      </w:tr>
    </w:tbl>
    <w:p>
      <w:pPr>
        <w:spacing w:line="360" w:lineRule="auto"/>
        <w:ind w:left="420" w:hanging="420" w:hangingChars="200"/>
        <w:jc w:val="left"/>
        <w:rPr>
          <w:rFonts w:ascii="宋体" w:hAnsi="宋体" w:eastAsia="宋体" w:cs="宋体"/>
          <w:bCs/>
          <w:szCs w:val="21"/>
        </w:rPr>
      </w:pPr>
      <w:r>
        <w:rPr>
          <w:rFonts w:hint="eastAsia" w:ascii="宋体" w:hAnsi="宋体" w:eastAsia="宋体" w:cs="宋体"/>
          <w:bCs/>
          <w:szCs w:val="21"/>
        </w:rPr>
        <w:t>3.3.</w:t>
      </w:r>
      <w:r>
        <w:rPr>
          <w:rFonts w:hint="eastAsia" w:ascii="宋体" w:hAnsi="宋体" w:eastAsia="宋体" w:cs="宋体"/>
          <w:bCs/>
          <w:szCs w:val="21"/>
          <w:lang w:val="en-US" w:eastAsia="zh-CN"/>
        </w:rPr>
        <w:t>3</w:t>
      </w:r>
      <w:r>
        <w:rPr>
          <w:rFonts w:hint="eastAsia" w:ascii="宋体" w:hAnsi="宋体" w:eastAsia="宋体" w:cs="宋体"/>
          <w:bCs/>
          <w:szCs w:val="21"/>
        </w:rPr>
        <w:t xml:space="preserve"> 以上使用的检测设备自备及检测所产生的费用包含在</w:t>
      </w:r>
      <w:r>
        <w:rPr>
          <w:rFonts w:hint="eastAsia" w:ascii="宋体" w:hAnsi="宋体" w:eastAsia="宋体" w:cs="宋体"/>
          <w:bCs/>
          <w:szCs w:val="21"/>
          <w:lang w:eastAsia="zh-CN"/>
        </w:rPr>
        <w:t>响应</w:t>
      </w:r>
      <w:r>
        <w:rPr>
          <w:rFonts w:hint="eastAsia" w:ascii="宋体" w:hAnsi="宋体" w:eastAsia="宋体" w:cs="宋体"/>
          <w:bCs/>
          <w:szCs w:val="21"/>
        </w:rPr>
        <w:t>报价中。</w:t>
      </w:r>
    </w:p>
    <w:p>
      <w:pPr>
        <w:rPr>
          <w:b/>
          <w:bCs/>
        </w:rPr>
      </w:pPr>
      <w:r>
        <w:rPr>
          <w:rFonts w:hint="eastAsia"/>
          <w:b/>
          <w:bCs/>
        </w:rPr>
        <w:t>五、</w:t>
      </w:r>
      <w:r>
        <w:rPr>
          <w:rFonts w:hint="eastAsia" w:ascii="Times New Roman" w:hAnsi="Times New Roman" w:eastAsia="宋体" w:cs="Times New Roman"/>
          <w:b/>
          <w:bCs/>
          <w:lang w:eastAsia="zh-CN" w:bidi="ar"/>
        </w:rPr>
        <w:t>响应</w:t>
      </w:r>
      <w:r>
        <w:rPr>
          <w:rFonts w:hint="eastAsia" w:ascii="Times New Roman" w:hAnsi="Times New Roman" w:eastAsia="宋体" w:cs="Times New Roman"/>
          <w:b/>
          <w:bCs/>
          <w:lang w:bidi="ar"/>
        </w:rPr>
        <w:t>报价明细表格式：（</w:t>
      </w:r>
      <w:r>
        <w:rPr>
          <w:rFonts w:hint="eastAsia" w:ascii="Times New Roman" w:hAnsi="Times New Roman" w:eastAsia="宋体" w:cs="Times New Roman"/>
          <w:b/>
          <w:bCs/>
          <w:lang w:eastAsia="zh-CN" w:bidi="ar"/>
        </w:rPr>
        <w:t>供应商</w:t>
      </w:r>
      <w:r>
        <w:rPr>
          <w:rFonts w:hint="eastAsia" w:ascii="Times New Roman" w:hAnsi="Times New Roman" w:eastAsia="宋体" w:cs="Times New Roman"/>
          <w:b/>
          <w:bCs/>
          <w:lang w:bidi="ar"/>
        </w:rPr>
        <w:t>须将以下报价明细表放入</w:t>
      </w:r>
      <w:r>
        <w:rPr>
          <w:rFonts w:hint="eastAsia" w:ascii="Times New Roman" w:hAnsi="Times New Roman" w:eastAsia="宋体" w:cs="Times New Roman"/>
          <w:b/>
          <w:bCs/>
          <w:lang w:eastAsia="zh-CN" w:bidi="ar"/>
        </w:rPr>
        <w:t>响应</w:t>
      </w:r>
      <w:r>
        <w:rPr>
          <w:rFonts w:hint="eastAsia" w:ascii="Times New Roman" w:hAnsi="Times New Roman" w:eastAsia="宋体" w:cs="Times New Roman"/>
          <w:b/>
          <w:bCs/>
          <w:lang w:bidi="ar"/>
        </w:rPr>
        <w:t>文件中）</w:t>
      </w:r>
    </w:p>
    <w:tbl>
      <w:tblPr>
        <w:tblStyle w:val="2"/>
        <w:tblpPr w:leftFromText="180" w:rightFromText="180" w:vertAnchor="text" w:horzAnchor="page" w:tblpX="708" w:tblpY="531"/>
        <w:tblOverlap w:val="never"/>
        <w:tblW w:w="11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6"/>
        <w:gridCol w:w="1770"/>
        <w:gridCol w:w="1890"/>
        <w:gridCol w:w="645"/>
        <w:gridCol w:w="1335"/>
        <w:gridCol w:w="577"/>
        <w:gridCol w:w="493"/>
        <w:gridCol w:w="567"/>
        <w:gridCol w:w="567"/>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7"/>
                <w:lang w:val="en-US" w:eastAsia="zh-CN" w:bidi="ar"/>
              </w:rPr>
              <w:t>科室</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7"/>
                <w:lang w:val="en-US" w:eastAsia="zh-CN" w:bidi="ar"/>
              </w:rPr>
              <w:t>项目</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7"/>
                <w:lang w:val="en-US" w:eastAsia="zh-CN" w:bidi="ar"/>
              </w:rPr>
              <w:t>单位</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品牌/产地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r>
              <w:rPr>
                <w:rFonts w:hint="eastAsia" w:ascii="宋体" w:hAnsi="宋体" w:eastAsia="宋体" w:cs="宋体"/>
                <w:b/>
                <w:bCs/>
                <w:i w:val="0"/>
                <w:iCs w:val="0"/>
                <w:color w:val="000000"/>
                <w:kern w:val="0"/>
                <w:sz w:val="24"/>
                <w:szCs w:val="24"/>
                <w:u w:val="none"/>
                <w:lang w:val="en-US" w:eastAsia="zh-CN" w:bidi="ar"/>
              </w:rPr>
              <w:br w:type="textWrapping"/>
            </w:r>
            <w:r>
              <w:rPr>
                <w:rStyle w:val="8"/>
                <w:b w:val="0"/>
                <w:bCs w:val="0"/>
                <w:sz w:val="15"/>
                <w:szCs w:val="15"/>
                <w:lang w:val="en-US" w:eastAsia="zh-CN" w:bidi="ar"/>
              </w:rPr>
              <w:t>（效率等级、规格型号</w:t>
            </w:r>
            <w:r>
              <w:rPr>
                <w:rStyle w:val="8"/>
                <w:b w:val="0"/>
                <w:bCs w:val="0"/>
                <w:lang w:val="en-US" w:eastAsia="zh-CN" w:bidi="ar"/>
              </w:rPr>
              <w:t>）</w:t>
            </w: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每年更换次数</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每次更换数量</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每年更换总数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响应单价（元）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住院五楼NICU/PICU</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W595*H290*D46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W595*H490*D46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W595*H290*D46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W595*H290*D46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W595*H490*D46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W592*H592*D381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W592*H287*D381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W287*H592*D381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W592*H490*D381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W592*H287*D381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W592*H592*D381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W592*H287*D381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W287*H592*D381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W592*H592*D381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W592*H490*D381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W592*H490*D381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W592*H490*D381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484*484*90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住院四楼新生儿科</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W290*H595*D46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W595*H490*D46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W595*H290*D46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W595*H290*D46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G4初效过滤网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W595*H595*D46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W592*H592*D381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W592*H592*D381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W592*H287*D381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W287*H592*D381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W592*H490*D381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W592*H490*D381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W592*H287*D381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W592*H592*D381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W592*H287*D381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F8中效过滤网</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0"/>
                <w:lang w:val="en-US" w:eastAsia="zh-CN" w:bidi="ar"/>
              </w:rPr>
              <w:t>W592*H490*D381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484*484*90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住院二楼静配中心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592*287*46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415*415*46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287*592*381*3P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484*484*90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门诊楼五楼手术中心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592*287*46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592*490*46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630*500*46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1000*1000*46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592*287*381*6P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287*592*381*3P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592*490*381*6P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815*290*50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390*390*46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685*385*46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415*415*46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亚高效效过滤器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760*240*50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610*305*292</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住院三楼产科手术室</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425*470*10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760*240*50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315*240*50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390*390*46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370*405*381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610*305*292</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484*484*90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1"/>
                <w:lang w:val="en-US" w:eastAsia="zh-CN" w:bidi="ar"/>
              </w:rPr>
              <w:t>住院二楼检验科</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595*595*46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595*290*46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592*287*381*6P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484*484*90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1"/>
                <w:lang w:val="en-US" w:eastAsia="zh-CN" w:bidi="ar"/>
              </w:rPr>
              <w:t>负一楼消毒供应中心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592*287*46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287*592*381*3P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484*484*90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1"/>
                <w:lang w:val="en-US" w:eastAsia="zh-CN" w:bidi="ar"/>
              </w:rPr>
              <w:t>门诊三楼介入科</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595*490*46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290*595*46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595*595*46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785*285*48</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340*290*96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585*295*96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290*290*96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330*330*96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287*592*381*3D</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592*490*381*6D</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830*410*90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520*520*90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1254*1125*69</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854*200*69</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1"/>
                <w:lang w:val="en-US" w:eastAsia="zh-CN" w:bidi="ar"/>
              </w:rPr>
              <w:t>妇科急诊手术室</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592*490*46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385*385*46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315*240*50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415*415*46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592*490*381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592*490*381*6D</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592*592*381</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484*484*90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610*305*292</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科室一年总计：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1"/>
                <w:lang w:val="en-US" w:eastAsia="zh-CN" w:bidi="ar"/>
              </w:rPr>
              <w:t>儿童急诊手术室</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415*415*46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385*385*46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315*240*46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595*490*46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592*490*381*6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484*484*90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610*305*292</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11"/>
                <w:lang w:val="en-US" w:eastAsia="zh-CN" w:bidi="ar"/>
              </w:rPr>
              <w:t>门诊四楼日间手术室</w:t>
            </w: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1000*400*46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595*595*46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595*490*46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800*400*46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初效过滤器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595*290*46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592*592*381*6P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592*287*381*6P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592*490*381*6P</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440*350*381*6</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390*390*50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中效过滤器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415*415*50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亚高效效过滤器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315*240*50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610*305*292</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H14高效过滤器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484*484*90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9"/>
                <w:lang w:val="en-US" w:eastAsia="zh-CN" w:bidi="ar"/>
              </w:rPr>
              <w:t>个</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5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科室1年总计：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644"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汇总所有科1年度用量总计：    元</w:t>
            </w:r>
          </w:p>
        </w:tc>
      </w:tr>
    </w:tbl>
    <w:p>
      <w:pPr>
        <w:spacing w:line="360" w:lineRule="auto"/>
        <w:jc w:val="left"/>
        <w:rPr>
          <w:rFonts w:hint="eastAsia" w:ascii="宋体" w:hAnsi="宋体" w:eastAsia="宋体" w:cs="宋体"/>
          <w:b/>
          <w:bCs/>
          <w:szCs w:val="21"/>
        </w:rPr>
      </w:pPr>
    </w:p>
    <w:p>
      <w:pPr>
        <w:spacing w:line="360" w:lineRule="auto"/>
        <w:jc w:val="left"/>
        <w:rPr>
          <w:rFonts w:hint="eastAsia"/>
          <w:b/>
          <w:bCs/>
        </w:rPr>
      </w:pPr>
      <w:r>
        <w:rPr>
          <w:rFonts w:hint="eastAsia" w:ascii="宋体" w:hAnsi="宋体" w:eastAsia="宋体" w:cs="宋体"/>
          <w:b/>
          <w:bCs/>
          <w:szCs w:val="21"/>
        </w:rPr>
        <w:t>（一）</w:t>
      </w:r>
      <w:r>
        <w:rPr>
          <w:rFonts w:hint="eastAsia" w:ascii="宋体" w:hAnsi="宋体" w:eastAsia="宋体" w:cs="宋体"/>
          <w:b/>
          <w:bCs/>
          <w:szCs w:val="21"/>
          <w:lang w:val="en-US" w:eastAsia="zh-CN"/>
        </w:rPr>
        <w:t>广州妇女儿童医疗中心增城</w:t>
      </w:r>
      <w:r>
        <w:rPr>
          <w:rFonts w:hint="eastAsia" w:ascii="宋体" w:hAnsi="宋体" w:eastAsia="宋体" w:cs="宋体"/>
          <w:b/>
          <w:bCs/>
          <w:szCs w:val="21"/>
        </w:rPr>
        <w:t>院区高效空气过滤器</w:t>
      </w:r>
      <w:r>
        <w:rPr>
          <w:rFonts w:hint="eastAsia" w:ascii="宋体" w:hAnsi="宋体" w:eastAsia="宋体" w:cs="宋体"/>
          <w:b/>
          <w:bCs/>
          <w:szCs w:val="21"/>
          <w:lang w:val="en-US" w:eastAsia="zh-CN"/>
        </w:rPr>
        <w:t>1</w:t>
      </w:r>
      <w:r>
        <w:rPr>
          <w:rFonts w:hint="eastAsia" w:ascii="宋体" w:hAnsi="宋体" w:eastAsia="宋体" w:cs="宋体"/>
          <w:b/>
          <w:bCs/>
          <w:szCs w:val="21"/>
        </w:rPr>
        <w:t>年用量清单：</w:t>
      </w:r>
    </w:p>
    <w:p>
      <w:pPr>
        <w:jc w:val="center"/>
      </w:pPr>
      <w:r>
        <w:rPr>
          <w:rFonts w:hint="eastAsia"/>
          <w:b/>
          <w:bCs/>
          <w:lang w:eastAsia="zh-CN"/>
        </w:rPr>
        <w:t>响应</w:t>
      </w:r>
      <w:r>
        <w:rPr>
          <w:rFonts w:hint="eastAsia"/>
          <w:b/>
          <w:bCs/>
        </w:rPr>
        <w:t>报价汇总表</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737"/>
        <w:gridCol w:w="4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b/>
                <w:bCs/>
              </w:rPr>
            </w:pPr>
            <w:r>
              <w:rPr>
                <w:rFonts w:hint="eastAsia"/>
                <w:b/>
                <w:bCs/>
              </w:rPr>
              <w:t>序号</w:t>
            </w:r>
          </w:p>
        </w:tc>
        <w:tc>
          <w:tcPr>
            <w:tcW w:w="2193" w:type="pct"/>
            <w:vAlign w:val="center"/>
          </w:tcPr>
          <w:p>
            <w:pPr>
              <w:jc w:val="center"/>
              <w:rPr>
                <w:rFonts w:hint="eastAsia" w:eastAsiaTheme="minorEastAsia"/>
                <w:lang w:val="en-US" w:eastAsia="zh-CN"/>
              </w:rPr>
            </w:pPr>
            <w:r>
              <w:rPr>
                <w:rFonts w:hint="eastAsia"/>
                <w:lang w:val="en-US" w:eastAsia="zh-CN"/>
              </w:rPr>
              <w:t>区域</w:t>
            </w:r>
          </w:p>
        </w:tc>
        <w:tc>
          <w:tcPr>
            <w:tcW w:w="2355" w:type="pct"/>
            <w:vAlign w:val="center"/>
          </w:tcPr>
          <w:p>
            <w:pPr>
              <w:jc w:val="center"/>
            </w:pPr>
            <w:r>
              <w:rPr>
                <w:rFonts w:hint="eastAsia"/>
                <w:b/>
                <w:bCs/>
                <w:lang w:eastAsia="zh-CN"/>
              </w:rPr>
              <w:t>响应</w:t>
            </w:r>
            <w:r>
              <w:rPr>
                <w:rFonts w:hint="eastAsia"/>
                <w:b/>
                <w:bCs/>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ascii="宋体" w:hAnsi="宋体" w:eastAsia="宋体" w:cs="宋体"/>
                <w:szCs w:val="21"/>
              </w:rPr>
            </w:pPr>
            <w:r>
              <w:rPr>
                <w:rFonts w:hint="eastAsia" w:ascii="宋体" w:hAnsi="宋体" w:eastAsia="宋体" w:cs="宋体"/>
                <w:szCs w:val="21"/>
              </w:rPr>
              <w:t>1</w:t>
            </w:r>
          </w:p>
        </w:tc>
        <w:tc>
          <w:tcPr>
            <w:tcW w:w="2193" w:type="pct"/>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PICU、NICU</w:t>
            </w:r>
          </w:p>
        </w:tc>
        <w:tc>
          <w:tcPr>
            <w:tcW w:w="235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93" w:type="pct"/>
            <w:vAlign w:val="center"/>
          </w:tcPr>
          <w:p>
            <w:pPr>
              <w:jc w:val="center"/>
              <w:rPr>
                <w:rFonts w:hint="default" w:eastAsiaTheme="minorEastAsia"/>
                <w:lang w:val="en-US" w:eastAsia="zh-CN"/>
              </w:rPr>
            </w:pPr>
            <w:r>
              <w:rPr>
                <w:rFonts w:hint="eastAsia"/>
                <w:lang w:val="en-US" w:eastAsia="zh-CN"/>
              </w:rPr>
              <w:t>新生儿科</w:t>
            </w:r>
          </w:p>
        </w:tc>
        <w:tc>
          <w:tcPr>
            <w:tcW w:w="235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2193" w:type="pct"/>
            <w:vAlign w:val="center"/>
          </w:tcPr>
          <w:p>
            <w:pPr>
              <w:jc w:val="center"/>
              <w:rPr>
                <w:rFonts w:hint="default"/>
                <w:lang w:val="en-US" w:eastAsia="zh-CN"/>
              </w:rPr>
            </w:pPr>
            <w:r>
              <w:rPr>
                <w:rFonts w:hint="eastAsia"/>
                <w:lang w:val="en-US" w:eastAsia="zh-CN"/>
              </w:rPr>
              <w:t>静培中心</w:t>
            </w:r>
          </w:p>
        </w:tc>
        <w:tc>
          <w:tcPr>
            <w:tcW w:w="235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4</w:t>
            </w:r>
          </w:p>
        </w:tc>
        <w:tc>
          <w:tcPr>
            <w:tcW w:w="2193" w:type="pct"/>
            <w:vAlign w:val="center"/>
          </w:tcPr>
          <w:p>
            <w:pPr>
              <w:jc w:val="center"/>
              <w:rPr>
                <w:rFonts w:hint="default" w:eastAsiaTheme="minorEastAsia"/>
                <w:lang w:val="en-US" w:eastAsia="zh-CN"/>
              </w:rPr>
            </w:pPr>
            <w:r>
              <w:rPr>
                <w:rFonts w:hint="eastAsia"/>
                <w:lang w:val="en-US" w:eastAsia="zh-CN"/>
              </w:rPr>
              <w:t>手术室中心</w:t>
            </w:r>
          </w:p>
        </w:tc>
        <w:tc>
          <w:tcPr>
            <w:tcW w:w="235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5</w:t>
            </w:r>
          </w:p>
        </w:tc>
        <w:tc>
          <w:tcPr>
            <w:tcW w:w="2193" w:type="pct"/>
            <w:vAlign w:val="center"/>
          </w:tcPr>
          <w:p>
            <w:pPr>
              <w:jc w:val="center"/>
              <w:rPr>
                <w:rFonts w:hint="default" w:eastAsiaTheme="minorEastAsia"/>
                <w:lang w:val="en-US" w:eastAsia="zh-CN"/>
              </w:rPr>
            </w:pPr>
            <w:r>
              <w:rPr>
                <w:rFonts w:hint="eastAsia"/>
                <w:lang w:val="en-US" w:eastAsia="zh-CN"/>
              </w:rPr>
              <w:t>产科手术室</w:t>
            </w:r>
          </w:p>
        </w:tc>
        <w:tc>
          <w:tcPr>
            <w:tcW w:w="235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2193" w:type="pct"/>
            <w:vAlign w:val="center"/>
          </w:tcPr>
          <w:p>
            <w:pPr>
              <w:jc w:val="center"/>
              <w:rPr>
                <w:rFonts w:hint="eastAsia" w:eastAsiaTheme="minorEastAsia"/>
                <w:lang w:val="en-US" w:eastAsia="zh-CN"/>
              </w:rPr>
            </w:pPr>
            <w:r>
              <w:rPr>
                <w:rFonts w:hint="eastAsia"/>
                <w:lang w:val="en-US" w:eastAsia="zh-CN"/>
              </w:rPr>
              <w:t>检验科</w:t>
            </w:r>
          </w:p>
        </w:tc>
        <w:tc>
          <w:tcPr>
            <w:tcW w:w="235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7</w:t>
            </w:r>
          </w:p>
        </w:tc>
        <w:tc>
          <w:tcPr>
            <w:tcW w:w="2193" w:type="pct"/>
            <w:vAlign w:val="center"/>
          </w:tcPr>
          <w:p>
            <w:pPr>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供应中心</w:t>
            </w:r>
          </w:p>
        </w:tc>
        <w:tc>
          <w:tcPr>
            <w:tcW w:w="235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51" w:type="pct"/>
            <w:vAlign w:val="center"/>
          </w:tcPr>
          <w:p>
            <w:pPr>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8</w:t>
            </w:r>
          </w:p>
        </w:tc>
        <w:tc>
          <w:tcPr>
            <w:tcW w:w="2193" w:type="pct"/>
            <w:vAlign w:val="center"/>
          </w:tcPr>
          <w:p>
            <w:pPr>
              <w:jc w:val="center"/>
              <w:rPr>
                <w:rFonts w:hint="eastAsia" w:ascii="宋体" w:hAnsi="宋体" w:eastAsia="宋体" w:cs="宋体"/>
                <w:b w:val="0"/>
                <w:bCs w:val="0"/>
                <w:szCs w:val="21"/>
                <w:lang w:val="en-US" w:eastAsia="zh-CN"/>
              </w:rPr>
            </w:pPr>
            <w:r>
              <w:rPr>
                <w:rFonts w:hint="eastAsia" w:ascii="宋体" w:hAnsi="宋体" w:eastAsia="宋体" w:cs="宋体"/>
                <w:b w:val="0"/>
                <w:bCs w:val="0"/>
                <w:szCs w:val="21"/>
                <w:lang w:val="en-US" w:eastAsia="zh-CN"/>
              </w:rPr>
              <w:t>介入科</w:t>
            </w:r>
          </w:p>
        </w:tc>
        <w:tc>
          <w:tcPr>
            <w:tcW w:w="2355" w:type="pct"/>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9</w:t>
            </w:r>
          </w:p>
        </w:tc>
        <w:tc>
          <w:tcPr>
            <w:tcW w:w="2193" w:type="pct"/>
            <w:vAlign w:val="center"/>
          </w:tcPr>
          <w:p>
            <w:pPr>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急救妇科手术室</w:t>
            </w:r>
          </w:p>
        </w:tc>
        <w:tc>
          <w:tcPr>
            <w:tcW w:w="2355" w:type="pct"/>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10</w:t>
            </w:r>
          </w:p>
        </w:tc>
        <w:tc>
          <w:tcPr>
            <w:tcW w:w="2193" w:type="pct"/>
            <w:vAlign w:val="center"/>
          </w:tcPr>
          <w:p>
            <w:pPr>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急救儿科手术室</w:t>
            </w:r>
          </w:p>
        </w:tc>
        <w:tc>
          <w:tcPr>
            <w:tcW w:w="2355" w:type="pct"/>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11</w:t>
            </w:r>
          </w:p>
        </w:tc>
        <w:tc>
          <w:tcPr>
            <w:tcW w:w="2193" w:type="pct"/>
            <w:vAlign w:val="center"/>
          </w:tcPr>
          <w:p>
            <w:pPr>
              <w:jc w:val="cente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日间手术室</w:t>
            </w:r>
          </w:p>
        </w:tc>
        <w:tc>
          <w:tcPr>
            <w:tcW w:w="2355" w:type="pct"/>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1" w:type="pct"/>
            <w:vAlign w:val="center"/>
          </w:tcPr>
          <w:p>
            <w:pPr>
              <w:jc w:val="center"/>
              <w:rPr>
                <w:rFonts w:hint="default"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12</w:t>
            </w:r>
          </w:p>
        </w:tc>
        <w:tc>
          <w:tcPr>
            <w:tcW w:w="2193" w:type="pct"/>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rPr>
              <w:t>总价（合计）：</w:t>
            </w:r>
          </w:p>
        </w:tc>
        <w:tc>
          <w:tcPr>
            <w:tcW w:w="2355" w:type="pct"/>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rPr>
              <w:t>人民币</w:t>
            </w:r>
            <w:r>
              <w:rPr>
                <w:rFonts w:hint="eastAsia"/>
                <w:u w:val="single"/>
              </w:rPr>
              <w:t xml:space="preserve">      </w:t>
            </w:r>
            <w:r>
              <w:rPr>
                <w:rFonts w:hint="eastAsia"/>
              </w:rPr>
              <w:t>元</w:t>
            </w:r>
          </w:p>
        </w:tc>
      </w:tr>
    </w:tbl>
    <w:p/>
    <w:p>
      <w:pPr>
        <w:jc w:val="center"/>
      </w:pPr>
    </w:p>
    <w:p/>
    <w:p>
      <w:pPr>
        <w:rPr>
          <w:rFonts w:hint="eastAsia" w:eastAsiaTheme="minorEastAsia"/>
          <w:b/>
          <w:bCs/>
          <w:sz w:val="21"/>
          <w:szCs w:val="21"/>
          <w:lang w:eastAsia="zh-CN"/>
        </w:rPr>
      </w:pPr>
      <w:r>
        <w:rPr>
          <w:rFonts w:hint="eastAsia"/>
          <w:b/>
          <w:bCs/>
          <w:sz w:val="21"/>
          <w:szCs w:val="21"/>
          <w:lang w:eastAsia="zh-CN"/>
        </w:rPr>
        <w:t>六、</w:t>
      </w:r>
      <w:r>
        <w:rPr>
          <w:rFonts w:hint="eastAsia"/>
          <w:b/>
          <w:bCs/>
          <w:sz w:val="21"/>
          <w:szCs w:val="21"/>
        </w:rPr>
        <w:t>广州市妇女儿童医疗中心</w:t>
      </w:r>
      <w:r>
        <w:rPr>
          <w:rFonts w:hint="eastAsia"/>
          <w:b/>
          <w:bCs/>
          <w:sz w:val="21"/>
          <w:szCs w:val="21"/>
          <w:lang w:val="en-US" w:eastAsia="zh-CN"/>
        </w:rPr>
        <w:t>增城</w:t>
      </w:r>
      <w:r>
        <w:rPr>
          <w:rFonts w:hint="eastAsia"/>
          <w:b/>
          <w:bCs/>
          <w:sz w:val="21"/>
          <w:szCs w:val="21"/>
        </w:rPr>
        <w:t>院区洁净空调滤网</w:t>
      </w:r>
      <w:r>
        <w:rPr>
          <w:rFonts w:hint="eastAsia"/>
          <w:b/>
          <w:bCs/>
          <w:sz w:val="21"/>
          <w:szCs w:val="21"/>
          <w:lang w:eastAsia="zh-CN"/>
        </w:rPr>
        <w:t>商务、技术要求</w:t>
      </w:r>
    </w:p>
    <w:p>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2"/>
        <w:gridCol w:w="64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1" w:hRule="atLeast"/>
        </w:trPr>
        <w:tc>
          <w:tcPr>
            <w:tcW w:w="1862" w:type="dxa"/>
          </w:tcPr>
          <w:p>
            <w:r>
              <w:t>标的提供的时间</w:t>
            </w:r>
          </w:p>
        </w:tc>
        <w:tc>
          <w:tcPr>
            <w:tcW w:w="6444" w:type="dxa"/>
          </w:tcPr>
          <w:p>
            <w:r>
              <w:rPr>
                <w:rFonts w:hint="eastAsia"/>
              </w:rPr>
              <w:t>自合同生效之日起</w:t>
            </w:r>
            <w:r>
              <w:rPr>
                <w:rFonts w:hint="eastAsia"/>
                <w:lang w:val="en-US" w:eastAsia="zh-CN"/>
              </w:rPr>
              <w:t>1</w:t>
            </w:r>
            <w:r>
              <w:rPr>
                <w:rFonts w:hint="eastAsia"/>
              </w:rPr>
              <w:t>年。</w:t>
            </w:r>
            <w:r>
              <w:rPr>
                <w:rFonts w:hint="eastAsia"/>
                <w:lang w:eastAsia="zh-CN"/>
              </w:rPr>
              <w:t>成交供应商</w:t>
            </w:r>
            <w:r>
              <w:rPr>
                <w:rFonts w:hint="eastAsia"/>
              </w:rPr>
              <w:t>每次接到采购人通知后15日历天内送货至采购人指定地点并安装验收合格。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2" w:type="dxa"/>
          </w:tcPr>
          <w:p>
            <w:r>
              <w:t>标的提供的地点</w:t>
            </w:r>
          </w:p>
        </w:tc>
        <w:tc>
          <w:tcPr>
            <w:tcW w:w="6444" w:type="dxa"/>
          </w:tcPr>
          <w:p>
            <w:r>
              <w:rPr>
                <w:rFonts w:hint="eastAsia"/>
              </w:rPr>
              <w:t>广州市妇女儿童医疗中心</w:t>
            </w:r>
            <w:r>
              <w:rPr>
                <w:rFonts w:hint="eastAsia"/>
                <w:lang w:val="en-US" w:eastAsia="zh-CN"/>
              </w:rPr>
              <w:t>增城</w:t>
            </w:r>
            <w:r>
              <w:rPr>
                <w:rFonts w:hint="eastAsia"/>
              </w:rPr>
              <w:t>院区或采购人指定地点。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2" w:type="dxa"/>
          </w:tcPr>
          <w:p>
            <w:r>
              <w:t>付款方式</w:t>
            </w:r>
          </w:p>
        </w:tc>
        <w:tc>
          <w:tcPr>
            <w:tcW w:w="6444" w:type="dxa"/>
          </w:tcPr>
          <w:p>
            <w:r>
              <w:t>1期：支付比例100%,1期：支付比例100%，</w:t>
            </w:r>
          </w:p>
          <w:p>
            <w:r>
              <w:rPr>
                <w:rFonts w:hint="eastAsia"/>
              </w:rPr>
              <w:t>1.采购人以银行转账形式每月按实结算货款，根据每次送货的品种和数量，按</w:t>
            </w:r>
            <w:r>
              <w:rPr>
                <w:rFonts w:hint="eastAsia"/>
                <w:lang w:eastAsia="zh-CN"/>
              </w:rPr>
              <w:t>成交供应商</w:t>
            </w:r>
            <w:r>
              <w:rPr>
                <w:rFonts w:hint="eastAsia"/>
              </w:rPr>
              <w:t>单价结算。</w:t>
            </w:r>
            <w:r>
              <w:rPr>
                <w:rFonts w:hint="eastAsia"/>
                <w:lang w:eastAsia="zh-CN"/>
              </w:rPr>
              <w:t>成交供应商</w:t>
            </w:r>
            <w:r>
              <w:rPr>
                <w:rFonts w:hint="eastAsia"/>
              </w:rPr>
              <w:t>每月10日前向采购人提交发票、送货清单等结算资料，采购人收到发票核对无误后5个工作日内开始办理支付手续。</w:t>
            </w:r>
          </w:p>
          <w:p>
            <w:r>
              <w:rPr>
                <w:rFonts w:hint="eastAsia"/>
              </w:rPr>
              <w:t>2.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r>
              <w:rPr>
                <w:rFonts w:hint="eastAsia"/>
              </w:rPr>
              <w:tab/>
            </w:r>
          </w:p>
          <w:p>
            <w:r>
              <w:rPr>
                <w:rFonts w:hint="eastAsia"/>
              </w:rPr>
              <w:t>3.</w:t>
            </w:r>
            <w:r>
              <w:rPr>
                <w:rFonts w:hint="eastAsia"/>
                <w:lang w:eastAsia="zh-CN"/>
              </w:rPr>
              <w:t>成交供应商</w:t>
            </w:r>
            <w:r>
              <w:rPr>
                <w:rFonts w:hint="eastAsia"/>
              </w:rPr>
              <w:t>在首次请款时需向采购人提交以下资料：</w:t>
            </w:r>
          </w:p>
          <w:p>
            <w:r>
              <w:rPr>
                <w:rFonts w:hint="eastAsia"/>
              </w:rPr>
              <w:t>⑴ 合同；</w:t>
            </w:r>
          </w:p>
          <w:p>
            <w:r>
              <w:rPr>
                <w:rFonts w:hint="eastAsia"/>
              </w:rPr>
              <w:t>⑵</w:t>
            </w:r>
            <w:r>
              <w:rPr>
                <w:rFonts w:hint="eastAsia"/>
                <w:lang w:eastAsia="zh-CN"/>
              </w:rPr>
              <w:t>成交供应商</w:t>
            </w:r>
            <w:r>
              <w:rPr>
                <w:rFonts w:hint="eastAsia"/>
              </w:rPr>
              <w:t>开具的正式发票，送货清单；</w:t>
            </w:r>
          </w:p>
          <w:p>
            <w:r>
              <w:rPr>
                <w:rFonts w:hint="eastAsia"/>
              </w:rPr>
              <w:t>⑶</w:t>
            </w:r>
            <w:r>
              <w:rPr>
                <w:rFonts w:hint="eastAsia"/>
                <w:lang w:eastAsia="zh-CN"/>
              </w:rPr>
              <w:t>成交</w:t>
            </w:r>
            <w:r>
              <w:rPr>
                <w:rFonts w:hint="eastAsia"/>
              </w:rPr>
              <w:t>通知书；</w:t>
            </w:r>
          </w:p>
          <w:p>
            <w:r>
              <w:rPr>
                <w:rFonts w:hint="eastAsia"/>
              </w:rPr>
              <w:t>⑷银行履约保函。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2" w:type="dxa"/>
          </w:tcPr>
          <w:p>
            <w:r>
              <w:t>验收要求</w:t>
            </w:r>
          </w:p>
        </w:tc>
        <w:tc>
          <w:tcPr>
            <w:tcW w:w="6444" w:type="dxa"/>
          </w:tcPr>
          <w:p>
            <w:r>
              <w:rPr>
                <w:rFonts w:hint="eastAsia"/>
              </w:rPr>
              <w:t>1. 所有过滤器的拆箱、安装、调试等项工作由</w:t>
            </w:r>
            <w:r>
              <w:rPr>
                <w:rFonts w:hint="eastAsia"/>
                <w:lang w:eastAsia="zh-CN"/>
              </w:rPr>
              <w:t>成交供应商</w:t>
            </w:r>
            <w:r>
              <w:rPr>
                <w:rFonts w:hint="eastAsia"/>
              </w:rPr>
              <w:t>负责，但需在采购人指定人员的参与下进行。调试的原始记录须经各方签字后作为验收的文件之一。</w:t>
            </w:r>
          </w:p>
          <w:p>
            <w:r>
              <w:rPr>
                <w:rFonts w:hint="eastAsia"/>
              </w:rPr>
              <w:t>2. 所有过滤器在开箱时应完好，无破损。数量、质量及性能</w:t>
            </w:r>
            <w:r>
              <w:rPr>
                <w:rFonts w:hint="eastAsia"/>
                <w:lang w:eastAsia="zh-CN"/>
              </w:rPr>
              <w:t>响应文件</w:t>
            </w:r>
            <w:r>
              <w:rPr>
                <w:rFonts w:hint="eastAsia"/>
              </w:rPr>
              <w:t>中提出的要求。</w:t>
            </w:r>
          </w:p>
          <w:p>
            <w:r>
              <w:rPr>
                <w:rFonts w:hint="eastAsia"/>
              </w:rPr>
              <w:t>3. 验收由采购人、</w:t>
            </w:r>
            <w:r>
              <w:rPr>
                <w:rFonts w:hint="eastAsia"/>
                <w:lang w:eastAsia="zh-CN"/>
              </w:rPr>
              <w:t>成交供应商</w:t>
            </w:r>
            <w:r>
              <w:rPr>
                <w:rFonts w:hint="eastAsia"/>
              </w:rPr>
              <w:t>及相关人员依国家有关标准、合同及有关附件要求进行。</w:t>
            </w:r>
          </w:p>
          <w:p>
            <w:r>
              <w:rPr>
                <w:rFonts w:hint="eastAsia"/>
              </w:rPr>
              <w:t>4. 验收（履约）标准：</w:t>
            </w:r>
            <w:r>
              <w:rPr>
                <w:rFonts w:hint="eastAsia"/>
                <w:lang w:eastAsia="zh-CN"/>
              </w:rPr>
              <w:t>成交供应商</w:t>
            </w:r>
            <w:r>
              <w:rPr>
                <w:rFonts w:hint="eastAsia"/>
              </w:rPr>
              <w:t>所供货物应符合中华人民共和国国家安全质量标准、环保标准或行业标准；符合</w:t>
            </w:r>
            <w:r>
              <w:rPr>
                <w:rFonts w:hint="eastAsia"/>
                <w:lang w:eastAsia="zh-CN"/>
              </w:rPr>
              <w:t>响应文件</w:t>
            </w:r>
            <w:r>
              <w:rPr>
                <w:rFonts w:hint="eastAsia"/>
              </w:rPr>
              <w:t>和响应承诺中采购人认可的参数及各项要求。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2" w:type="dxa"/>
          </w:tcPr>
          <w:p>
            <w:r>
              <w:t>履约保证金</w:t>
            </w:r>
          </w:p>
        </w:tc>
        <w:tc>
          <w:tcPr>
            <w:tcW w:w="6444" w:type="dxa"/>
          </w:tcPr>
          <w:p>
            <w:r>
              <w:rPr>
                <w:rFonts w:hint="eastAsia"/>
              </w:rPr>
              <w:t>收取，</w:t>
            </w:r>
            <w:r>
              <w:rPr>
                <w:rFonts w:hint="eastAsia"/>
                <w:lang w:eastAsia="zh-CN"/>
              </w:rPr>
              <w:t>成交供应商</w:t>
            </w:r>
            <w:r>
              <w:rPr>
                <w:rFonts w:hint="eastAsia"/>
              </w:rPr>
              <w:t>（成交供应商）与采购人签订合同后 15 个工作日内，按不少于合同总价的 1%以银行保函的形式向采购人提交履约保证金。若</w:t>
            </w:r>
            <w:r>
              <w:rPr>
                <w:rFonts w:hint="eastAsia"/>
                <w:lang w:eastAsia="zh-CN"/>
              </w:rPr>
              <w:t>成交供应商</w:t>
            </w:r>
            <w:r>
              <w:rPr>
                <w:rFonts w:hint="eastAsia"/>
              </w:rPr>
              <w:t>（成交供应商）没有违约行为，合同期满后采购人收到</w:t>
            </w:r>
            <w:r>
              <w:rPr>
                <w:rFonts w:hint="eastAsia"/>
                <w:lang w:eastAsia="zh-CN"/>
              </w:rPr>
              <w:t>成交供应商</w:t>
            </w:r>
            <w:r>
              <w:rPr>
                <w:rFonts w:hint="eastAsia"/>
              </w:rPr>
              <w:t>（成交供应商）退还保函申请之日起 30 个工作日内无息退还</w:t>
            </w:r>
            <w:r>
              <w:rPr>
                <w:rFonts w:hint="eastAsia"/>
                <w:lang w:eastAsia="zh-CN"/>
              </w:rPr>
              <w:t>成交供应商</w:t>
            </w:r>
            <w:r>
              <w:rPr>
                <w:rFonts w:hint="eastAsia"/>
              </w:rPr>
              <w:t>（成交供应商）。采购人逾期退还履约保函的，应当按中国人民银行授权的全国银行间同业拆借中心在逾期当月 20 日（遇节假日顺延）9 时 30 分公布的贷款市场报价利率上浮 20％后 的利率支付超期资金占用费，但因</w:t>
            </w:r>
            <w:r>
              <w:rPr>
                <w:rFonts w:hint="eastAsia"/>
                <w:lang w:eastAsia="zh-CN"/>
              </w:rPr>
              <w:t>成交供应商</w:t>
            </w:r>
            <w:r>
              <w:rPr>
                <w:rFonts w:hint="eastAsia"/>
              </w:rPr>
              <w:t>（成交供应商）自身原因导致无法及时退还的除外。下列任何一种情况发 生时，采购人有权不予退还履约保函：（一）有明显证 据证明</w:t>
            </w:r>
            <w:r>
              <w:rPr>
                <w:rFonts w:hint="eastAsia"/>
                <w:lang w:eastAsia="zh-CN"/>
              </w:rPr>
              <w:t>成交供应商</w:t>
            </w:r>
            <w:r>
              <w:rPr>
                <w:rFonts w:hint="eastAsia"/>
              </w:rPr>
              <w:t>（成交供应商）未完全履行本合同约定的。（二）</w:t>
            </w:r>
            <w:r>
              <w:rPr>
                <w:rFonts w:hint="eastAsia"/>
                <w:lang w:eastAsia="zh-CN"/>
              </w:rPr>
              <w:t>成交供应商</w:t>
            </w:r>
            <w:r>
              <w:rPr>
                <w:rFonts w:hint="eastAsia"/>
              </w:rPr>
              <w:t>（成交供应商）有明显过错致采购人造成损失的。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2" w:type="dxa"/>
          </w:tcPr>
          <w:p>
            <w:r>
              <w:t>其他</w:t>
            </w:r>
          </w:p>
        </w:tc>
        <w:tc>
          <w:tcPr>
            <w:tcW w:w="6444" w:type="dxa"/>
          </w:tcPr>
          <w:p>
            <w:r>
              <w:rPr>
                <w:rFonts w:hint="eastAsia"/>
              </w:rPr>
              <w:t>（一）包装、保险及发运、保管要求</w:t>
            </w:r>
          </w:p>
          <w:p>
            <w:r>
              <w:rPr>
                <w:rFonts w:hint="eastAsia"/>
              </w:rPr>
              <w:t>1. 空气过滤器的包装应是制造商原厂包装，其包装均应有良好的防湿、防锈、防潮、防雨、防腐及防碰撞的措施。凡由于包装不良造成的损失和由此产生的费用均由</w:t>
            </w:r>
            <w:r>
              <w:rPr>
                <w:rFonts w:hint="eastAsia"/>
                <w:lang w:eastAsia="zh-CN"/>
              </w:rPr>
              <w:t>供应商</w:t>
            </w:r>
            <w:r>
              <w:rPr>
                <w:rFonts w:hint="eastAsia"/>
              </w:rPr>
              <w:t>承担。</w:t>
            </w:r>
          </w:p>
          <w:p>
            <w:r>
              <w:rPr>
                <w:rFonts w:hint="eastAsia"/>
              </w:rPr>
              <w:t xml:space="preserve">2. </w:t>
            </w:r>
            <w:r>
              <w:rPr>
                <w:rFonts w:hint="eastAsia"/>
                <w:lang w:eastAsia="zh-CN"/>
              </w:rPr>
              <w:t>成交供应商</w:t>
            </w:r>
            <w:r>
              <w:rPr>
                <w:rFonts w:hint="eastAsia"/>
              </w:rPr>
              <w:t>负责将空气过滤器货物到现场过程中的全部运输，包括装卸车、货物现场的搬运。</w:t>
            </w:r>
          </w:p>
          <w:p>
            <w:r>
              <w:rPr>
                <w:rFonts w:hint="eastAsia"/>
              </w:rPr>
              <w:t>3. 各类空气过滤器，应提供装箱清单，按装箱清单验收货物。</w:t>
            </w:r>
          </w:p>
          <w:p>
            <w:r>
              <w:rPr>
                <w:rFonts w:hint="eastAsia"/>
              </w:rPr>
              <w:t>4. 货物在现场的保管由</w:t>
            </w:r>
            <w:r>
              <w:rPr>
                <w:rFonts w:hint="eastAsia"/>
                <w:lang w:eastAsia="zh-CN"/>
              </w:rPr>
              <w:t>成交供应商</w:t>
            </w:r>
            <w:r>
              <w:rPr>
                <w:rFonts w:hint="eastAsia"/>
              </w:rPr>
              <w:t>负责，直至项目安装、验收完毕。</w:t>
            </w:r>
          </w:p>
          <w:p>
            <w:r>
              <w:rPr>
                <w:rFonts w:hint="eastAsia"/>
              </w:rPr>
              <w:t>5. 货物在系统安装调试验收合格前的保险由</w:t>
            </w:r>
            <w:r>
              <w:rPr>
                <w:rFonts w:hint="eastAsia"/>
                <w:lang w:eastAsia="zh-CN"/>
              </w:rPr>
              <w:t>成交供应商</w:t>
            </w:r>
            <w:r>
              <w:rPr>
                <w:rFonts w:hint="eastAsia"/>
              </w:rPr>
              <w:t>负责，</w:t>
            </w:r>
            <w:r>
              <w:rPr>
                <w:rFonts w:hint="eastAsia"/>
                <w:lang w:eastAsia="zh-CN"/>
              </w:rPr>
              <w:t>成交供应商</w:t>
            </w:r>
            <w:r>
              <w:rPr>
                <w:rFonts w:hint="eastAsia"/>
              </w:rPr>
              <w:t>负责其派出的现场服务人员人身意外保险。</w:t>
            </w:r>
          </w:p>
          <w:p>
            <w:r>
              <w:rPr>
                <w:rFonts w:hint="eastAsia"/>
              </w:rPr>
              <w:t>6. 各院区空气过滤器至采购人指定的使用现场的包装、保险及发运等环节和费用均由</w:t>
            </w:r>
            <w:r>
              <w:rPr>
                <w:rFonts w:hint="eastAsia"/>
                <w:lang w:eastAsia="zh-CN"/>
              </w:rPr>
              <w:t>成交供应商</w:t>
            </w:r>
            <w:r>
              <w:rPr>
                <w:rFonts w:hint="eastAsia"/>
              </w:rPr>
              <w:t>负责。</w:t>
            </w:r>
          </w:p>
          <w:p>
            <w:r>
              <w:rPr>
                <w:rFonts w:hint="eastAsia"/>
              </w:rPr>
              <w:t>（二）质量保证要求</w:t>
            </w:r>
          </w:p>
          <w:p>
            <w:r>
              <w:rPr>
                <w:rFonts w:hint="eastAsia"/>
              </w:rPr>
              <w:t>1.向采购人的相关管理人员提供基本操作培训和常见故障排除培训（≥1次/年），此项费用包含在</w:t>
            </w:r>
            <w:r>
              <w:rPr>
                <w:rFonts w:hint="eastAsia"/>
                <w:lang w:eastAsia="zh-CN"/>
              </w:rPr>
              <w:t>响应</w:t>
            </w:r>
            <w:r>
              <w:rPr>
                <w:rFonts w:hint="eastAsia"/>
              </w:rPr>
              <w:t>报价中。</w:t>
            </w:r>
          </w:p>
          <w:p>
            <w:r>
              <w:rPr>
                <w:rFonts w:hint="eastAsia"/>
              </w:rPr>
              <w:t>2. 为保证高效空气过滤器产品质量，</w:t>
            </w:r>
            <w:r>
              <w:rPr>
                <w:rFonts w:hint="eastAsia"/>
                <w:lang w:eastAsia="zh-CN"/>
              </w:rPr>
              <w:t>成交供应商</w:t>
            </w:r>
            <w:r>
              <w:rPr>
                <w:rFonts w:hint="eastAsia"/>
              </w:rPr>
              <w:t>交货时须提供HV超细玻璃纤维滤纸材料来料证明的相关文件。</w:t>
            </w:r>
          </w:p>
          <w:p>
            <w:r>
              <w:rPr>
                <w:rFonts w:hint="eastAsia"/>
              </w:rPr>
              <w:t>3. 所有货物保修服务方式均为</w:t>
            </w:r>
            <w:r>
              <w:rPr>
                <w:rFonts w:hint="eastAsia"/>
                <w:lang w:eastAsia="zh-CN"/>
              </w:rPr>
              <w:t>成交供应商</w:t>
            </w:r>
            <w:r>
              <w:rPr>
                <w:rFonts w:hint="eastAsia"/>
              </w:rPr>
              <w:t>上门保修，即由</w:t>
            </w:r>
            <w:r>
              <w:rPr>
                <w:rFonts w:hint="eastAsia"/>
                <w:lang w:eastAsia="zh-CN"/>
              </w:rPr>
              <w:t>成交供应商</w:t>
            </w:r>
            <w:r>
              <w:rPr>
                <w:rFonts w:hint="eastAsia"/>
              </w:rPr>
              <w:t>派员到货物使用现场维修，由此产生的一切费用均由</w:t>
            </w:r>
            <w:r>
              <w:rPr>
                <w:rFonts w:hint="eastAsia"/>
                <w:lang w:eastAsia="zh-CN"/>
              </w:rPr>
              <w:t>成交供应商</w:t>
            </w:r>
            <w:r>
              <w:rPr>
                <w:rFonts w:hint="eastAsia"/>
              </w:rPr>
              <w:t>承担。</w:t>
            </w:r>
          </w:p>
          <w:p>
            <w:r>
              <w:rPr>
                <w:rFonts w:hint="eastAsia"/>
              </w:rPr>
              <w:t xml:space="preserve">4. </w:t>
            </w:r>
            <w:r>
              <w:rPr>
                <w:rFonts w:hint="eastAsia"/>
                <w:lang w:eastAsia="zh-CN"/>
              </w:rPr>
              <w:t>成交供应商</w:t>
            </w:r>
            <w:r>
              <w:rPr>
                <w:rFonts w:hint="eastAsia"/>
              </w:rPr>
              <w:t>完成有关区域的高效过滤器更换后，采购人将委托第三方检测单位对洁净度进行检测，如检测合格，检测费用由采购人支付；如检测结果不达标，检测费用以及后续再检测费用由</w:t>
            </w:r>
            <w:r>
              <w:rPr>
                <w:rFonts w:hint="eastAsia"/>
                <w:lang w:eastAsia="zh-CN"/>
              </w:rPr>
              <w:t>成交供应商</w:t>
            </w:r>
            <w:r>
              <w:rPr>
                <w:rFonts w:hint="eastAsia"/>
              </w:rPr>
              <w:t>承担。</w:t>
            </w:r>
          </w:p>
          <w:p>
            <w:r>
              <w:rPr>
                <w:rFonts w:hint="eastAsia"/>
              </w:rPr>
              <w:t>（三）违约责任</w:t>
            </w:r>
          </w:p>
          <w:p>
            <w:r>
              <w:rPr>
                <w:rFonts w:hint="eastAsia"/>
              </w:rPr>
              <w:t xml:space="preserve">1. </w:t>
            </w:r>
            <w:r>
              <w:rPr>
                <w:rFonts w:hint="eastAsia"/>
                <w:lang w:eastAsia="zh-CN"/>
              </w:rPr>
              <w:t>成交供应商</w:t>
            </w:r>
            <w:r>
              <w:rPr>
                <w:rFonts w:hint="eastAsia"/>
              </w:rPr>
              <w:t>交付的货品规格、型号、技术参数与</w:t>
            </w:r>
            <w:r>
              <w:rPr>
                <w:rFonts w:hint="eastAsia"/>
                <w:lang w:eastAsia="zh-CN"/>
              </w:rPr>
              <w:t>响应</w:t>
            </w:r>
            <w:r>
              <w:rPr>
                <w:rFonts w:hint="eastAsia"/>
              </w:rPr>
              <w:t>文件或</w:t>
            </w:r>
            <w:r>
              <w:rPr>
                <w:rFonts w:hint="eastAsia"/>
                <w:lang w:eastAsia="zh-CN"/>
              </w:rPr>
              <w:t>响应文件</w:t>
            </w:r>
            <w:r>
              <w:rPr>
                <w:rFonts w:hint="eastAsia"/>
              </w:rPr>
              <w:t>不符时，采购人有权拒收，</w:t>
            </w:r>
            <w:r>
              <w:rPr>
                <w:rFonts w:hint="eastAsia"/>
                <w:lang w:eastAsia="zh-CN"/>
              </w:rPr>
              <w:t>成交供应商</w:t>
            </w:r>
            <w:r>
              <w:rPr>
                <w:rFonts w:hint="eastAsia"/>
              </w:rPr>
              <w:t>需向采购人偿付不合格货物总值的三倍违约金。一批次送货5个品种货物出现这类情况的和单一品种每月累计出现3次这类情况的，按违约处理，采购人有权终止合同，不予退还履约保证金，并上报监管部门。</w:t>
            </w:r>
          </w:p>
          <w:p>
            <w:r>
              <w:rPr>
                <w:rFonts w:hint="eastAsia"/>
              </w:rPr>
              <w:t xml:space="preserve">2. </w:t>
            </w:r>
            <w:r>
              <w:rPr>
                <w:rFonts w:hint="eastAsia"/>
                <w:lang w:eastAsia="zh-CN"/>
              </w:rPr>
              <w:t>成交供应商</w:t>
            </w:r>
            <w:r>
              <w:rPr>
                <w:rFonts w:hint="eastAsia"/>
              </w:rPr>
              <w:t>不供应采购人指定型号、规格、技术指标的货物，提出书面申请要更换别的型号、规格和技术指标的，经采购人证实指定的型号、规格和技术指标的货物在市场上有充裕的货源，这种情况出现3次，采购人有权终止合同。</w:t>
            </w:r>
          </w:p>
          <w:p>
            <w:r>
              <w:rPr>
                <w:rFonts w:hint="eastAsia"/>
              </w:rPr>
              <w:t>3. 双方在货物质量上有异议，协商不成时，经第三方检测机构鉴定</w:t>
            </w:r>
            <w:r>
              <w:rPr>
                <w:rFonts w:hint="eastAsia"/>
                <w:lang w:eastAsia="zh-CN"/>
              </w:rPr>
              <w:t>成交供应商</w:t>
            </w:r>
            <w:r>
              <w:rPr>
                <w:rFonts w:hint="eastAsia"/>
              </w:rPr>
              <w:t>所供货品确为伪劣商品或不符合</w:t>
            </w:r>
            <w:r>
              <w:rPr>
                <w:rFonts w:hint="eastAsia"/>
                <w:lang w:eastAsia="zh-CN"/>
              </w:rPr>
              <w:t>响应文件</w:t>
            </w:r>
            <w:r>
              <w:rPr>
                <w:rFonts w:hint="eastAsia"/>
              </w:rPr>
              <w:t>要求的，采购人有权拒收，</w:t>
            </w:r>
            <w:r>
              <w:rPr>
                <w:rFonts w:hint="eastAsia"/>
                <w:lang w:eastAsia="zh-CN"/>
              </w:rPr>
              <w:t>成交供应商</w:t>
            </w:r>
            <w:r>
              <w:rPr>
                <w:rFonts w:hint="eastAsia"/>
              </w:rPr>
              <w:t>需向采购人偿付不合格货物总值的三倍违约金；情节严重的，采购人有权终止合同，不予退还履约保证金，</w:t>
            </w:r>
            <w:r>
              <w:rPr>
                <w:rFonts w:hint="eastAsia"/>
                <w:lang w:eastAsia="zh-CN"/>
              </w:rPr>
              <w:t>成交供应商</w:t>
            </w:r>
            <w:r>
              <w:rPr>
                <w:rFonts w:hint="eastAsia"/>
              </w:rPr>
              <w:t>应承担货品的检测费用及违约费用并负一切法律责任。</w:t>
            </w:r>
          </w:p>
          <w:p>
            <w:r>
              <w:rPr>
                <w:rFonts w:hint="eastAsia"/>
              </w:rPr>
              <w:t xml:space="preserve">4. </w:t>
            </w:r>
            <w:r>
              <w:rPr>
                <w:rFonts w:hint="eastAsia"/>
                <w:lang w:eastAsia="zh-CN"/>
              </w:rPr>
              <w:t>成交供应商响应</w:t>
            </w:r>
            <w:r>
              <w:rPr>
                <w:rFonts w:hint="eastAsia"/>
              </w:rPr>
              <w:t>时所提供的货物如在实际供货时已经停产（不列入该厂家当时的产品系统），如果未能按原价提供更优质的货物，则按违约处理。</w:t>
            </w:r>
          </w:p>
          <w:p>
            <w:r>
              <w:rPr>
                <w:rFonts w:hint="eastAsia"/>
              </w:rPr>
              <w:t xml:space="preserve">5. </w:t>
            </w:r>
            <w:r>
              <w:rPr>
                <w:rFonts w:hint="eastAsia"/>
                <w:lang w:eastAsia="zh-CN"/>
              </w:rPr>
              <w:t>成交供应商</w:t>
            </w:r>
            <w:r>
              <w:rPr>
                <w:rFonts w:hint="eastAsia"/>
              </w:rPr>
              <w:t>转包或分包本项目的，按违约处理，采购人有权终止合同，不予退还履约保证金，并上报监管部门，</w:t>
            </w:r>
            <w:r>
              <w:rPr>
                <w:rFonts w:hint="eastAsia"/>
                <w:lang w:eastAsia="zh-CN"/>
              </w:rPr>
              <w:t>成交供应商</w:t>
            </w:r>
            <w:r>
              <w:rPr>
                <w:rFonts w:hint="eastAsia"/>
              </w:rPr>
              <w:t>承担一切违约责任。</w:t>
            </w:r>
          </w:p>
          <w:p>
            <w:r>
              <w:rPr>
                <w:rFonts w:hint="eastAsia"/>
              </w:rPr>
              <w:t>6. 根据采购人不同科室的正常运行要求，</w:t>
            </w:r>
            <w:r>
              <w:rPr>
                <w:rFonts w:hint="eastAsia"/>
                <w:lang w:eastAsia="zh-CN"/>
              </w:rPr>
              <w:t>成交供应商</w:t>
            </w:r>
            <w:r>
              <w:rPr>
                <w:rFonts w:hint="eastAsia"/>
              </w:rPr>
              <w:t>需灵活配合采购人的过滤器安装需求。如</w:t>
            </w:r>
            <w:r>
              <w:rPr>
                <w:rFonts w:hint="eastAsia"/>
                <w:lang w:eastAsia="zh-CN"/>
              </w:rPr>
              <w:t>成交供应商</w:t>
            </w:r>
            <w:r>
              <w:rPr>
                <w:rFonts w:hint="eastAsia"/>
              </w:rPr>
              <w:t>拒不配合采购人要求的，不按</w:t>
            </w:r>
            <w:r>
              <w:rPr>
                <w:rFonts w:hint="eastAsia"/>
                <w:lang w:eastAsia="zh-CN"/>
              </w:rPr>
              <w:t>响应</w:t>
            </w:r>
            <w:r>
              <w:rPr>
                <w:rFonts w:hint="eastAsia"/>
              </w:rPr>
              <w:t>文件承诺提供服务的，采购人每发现一次扣罚</w:t>
            </w:r>
            <w:r>
              <w:rPr>
                <w:rFonts w:hint="eastAsia"/>
                <w:lang w:eastAsia="zh-CN"/>
              </w:rPr>
              <w:t>成交供应商</w:t>
            </w:r>
            <w:r>
              <w:rPr>
                <w:rFonts w:hint="eastAsia"/>
              </w:rPr>
              <w:t>500元；如连续三次拒不配合的，采购人有权终止合同，不予退还履约保证金，并上报监管部门，</w:t>
            </w:r>
            <w:r>
              <w:rPr>
                <w:rFonts w:hint="eastAsia"/>
                <w:lang w:eastAsia="zh-CN"/>
              </w:rPr>
              <w:t>成交供应商</w:t>
            </w:r>
            <w:r>
              <w:rPr>
                <w:rFonts w:hint="eastAsia"/>
              </w:rPr>
              <w:t>承担一切违约责任及采购人的损失。</w:t>
            </w:r>
          </w:p>
          <w:p>
            <w:r>
              <w:rPr>
                <w:rFonts w:hint="eastAsia"/>
              </w:rPr>
              <w:t>（四）售后服务：</w:t>
            </w:r>
            <w:r>
              <w:rPr>
                <w:rFonts w:hint="eastAsia"/>
                <w:lang w:eastAsia="zh-CN"/>
              </w:rPr>
              <w:t>成交供应商</w:t>
            </w:r>
            <w:r>
              <w:rPr>
                <w:rFonts w:hint="eastAsia"/>
              </w:rPr>
              <w:t>对于出现不符合质量、服务标准的产品实行包退包换；</w:t>
            </w:r>
            <w:r>
              <w:rPr>
                <w:rFonts w:hint="eastAsia"/>
                <w:lang w:eastAsia="zh-CN"/>
              </w:rPr>
              <w:t>成交供应商</w:t>
            </w:r>
            <w:r>
              <w:rPr>
                <w:rFonts w:hint="eastAsia"/>
              </w:rPr>
              <w:t>须于接到采购人通知的1个工作日内，派专业人员上门服务，在3个工作日内保证按要求完成更换等服务。</w:t>
            </w:r>
          </w:p>
        </w:tc>
      </w:tr>
    </w:tbl>
    <w:p>
      <w:r>
        <w:rPr>
          <w:b/>
        </w:rPr>
        <w:t>2.技术标准与要求</w:t>
      </w:r>
    </w:p>
    <w:p/>
    <w:p/>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6"/>
        <w:gridCol w:w="625"/>
        <w:gridCol w:w="1521"/>
        <w:gridCol w:w="476"/>
        <w:gridCol w:w="600"/>
        <w:gridCol w:w="1513"/>
        <w:gridCol w:w="1394"/>
        <w:gridCol w:w="717"/>
        <w:gridCol w:w="575"/>
        <w:gridCol w:w="6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jc w:val="center"/>
            </w:pPr>
            <w:r>
              <w:t>序号</w:t>
            </w:r>
          </w:p>
        </w:tc>
        <w:tc>
          <w:tcPr>
            <w:tcW w:w="0" w:type="auto"/>
          </w:tcPr>
          <w:p>
            <w:pPr>
              <w:jc w:val="center"/>
            </w:pPr>
            <w:r>
              <w:t>品目名称</w:t>
            </w:r>
          </w:p>
        </w:tc>
        <w:tc>
          <w:tcPr>
            <w:tcW w:w="0" w:type="auto"/>
          </w:tcPr>
          <w:p>
            <w:pPr>
              <w:jc w:val="center"/>
            </w:pPr>
            <w:r>
              <w:t>标的名称</w:t>
            </w:r>
          </w:p>
        </w:tc>
        <w:tc>
          <w:tcPr>
            <w:tcW w:w="0" w:type="auto"/>
          </w:tcPr>
          <w:p>
            <w:pPr>
              <w:jc w:val="center"/>
            </w:pPr>
            <w:r>
              <w:t>单位</w:t>
            </w:r>
          </w:p>
        </w:tc>
        <w:tc>
          <w:tcPr>
            <w:tcW w:w="600" w:type="dxa"/>
          </w:tcPr>
          <w:p>
            <w:pPr>
              <w:jc w:val="center"/>
            </w:pPr>
            <w:r>
              <w:t>数量</w:t>
            </w:r>
          </w:p>
        </w:tc>
        <w:tc>
          <w:tcPr>
            <w:tcW w:w="1513" w:type="dxa"/>
          </w:tcPr>
          <w:p>
            <w:pPr>
              <w:jc w:val="center"/>
            </w:pPr>
            <w:r>
              <w:t>分项预算单价（元）</w:t>
            </w:r>
          </w:p>
        </w:tc>
        <w:tc>
          <w:tcPr>
            <w:tcW w:w="0" w:type="auto"/>
          </w:tcPr>
          <w:p>
            <w:pPr>
              <w:jc w:val="center"/>
            </w:pPr>
            <w:r>
              <w:t>分项预算总价（元）</w:t>
            </w:r>
          </w:p>
        </w:tc>
        <w:tc>
          <w:tcPr>
            <w:tcW w:w="0" w:type="auto"/>
          </w:tcPr>
          <w:p>
            <w:r>
              <w:rPr>
                <w:rFonts w:hint="eastAsia"/>
              </w:rPr>
              <w:t>权重%</w:t>
            </w:r>
          </w:p>
        </w:tc>
        <w:tc>
          <w:tcPr>
            <w:tcW w:w="0" w:type="auto"/>
          </w:tcPr>
          <w:p>
            <w:r>
              <w:t>所属行业</w:t>
            </w:r>
          </w:p>
        </w:tc>
        <w:tc>
          <w:tcPr>
            <w:tcW w:w="0" w:type="auto"/>
          </w:tcPr>
          <w:p>
            <w:pPr>
              <w:jc w:val="center"/>
            </w:pPr>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pPr>
              <w:jc w:val="center"/>
            </w:pPr>
            <w:r>
              <w:t>1</w:t>
            </w:r>
          </w:p>
        </w:tc>
        <w:tc>
          <w:tcPr>
            <w:tcW w:w="0" w:type="auto"/>
          </w:tcPr>
          <w:p>
            <w:pPr>
              <w:jc w:val="left"/>
            </w:pPr>
            <w:r>
              <w:rPr>
                <w:rFonts w:hint="eastAsia"/>
              </w:rPr>
              <w:t>空气滤洁器</w:t>
            </w:r>
          </w:p>
        </w:tc>
        <w:tc>
          <w:tcPr>
            <w:tcW w:w="0" w:type="auto"/>
          </w:tcPr>
          <w:p>
            <w:pPr>
              <w:jc w:val="left"/>
            </w:pPr>
            <w:r>
              <w:rPr>
                <w:rFonts w:hint="eastAsia"/>
              </w:rPr>
              <w:t>广州市妇女儿童医疗中心</w:t>
            </w:r>
            <w:r>
              <w:rPr>
                <w:rFonts w:hint="eastAsia"/>
                <w:lang w:val="en-US" w:eastAsia="zh-CN"/>
              </w:rPr>
              <w:t>增城院</w:t>
            </w:r>
            <w:r>
              <w:rPr>
                <w:rFonts w:hint="eastAsia"/>
              </w:rPr>
              <w:t>区洁净空调滤网采购</w:t>
            </w:r>
          </w:p>
        </w:tc>
        <w:tc>
          <w:tcPr>
            <w:tcW w:w="0" w:type="auto"/>
          </w:tcPr>
          <w:p>
            <w:pPr>
              <w:jc w:val="left"/>
            </w:pPr>
            <w:r>
              <w:rPr>
                <w:rFonts w:hint="eastAsia"/>
              </w:rPr>
              <w:t>批</w:t>
            </w:r>
          </w:p>
        </w:tc>
        <w:tc>
          <w:tcPr>
            <w:tcW w:w="600" w:type="dxa"/>
          </w:tcPr>
          <w:p>
            <w:pPr>
              <w:jc w:val="right"/>
            </w:pPr>
            <w:r>
              <w:t>1.00</w:t>
            </w:r>
          </w:p>
        </w:tc>
        <w:tc>
          <w:tcPr>
            <w:tcW w:w="1513" w:type="dxa"/>
          </w:tcPr>
          <w:p>
            <w:pPr>
              <w:jc w:val="right"/>
              <w:rPr>
                <w:rFonts w:hint="default" w:eastAsiaTheme="minorEastAsia"/>
                <w:lang w:val="en-US" w:eastAsia="zh-CN"/>
              </w:rPr>
            </w:pPr>
            <w:r>
              <w:rPr>
                <w:rFonts w:hint="eastAsia"/>
                <w:lang w:val="en-US" w:eastAsia="zh-CN"/>
              </w:rPr>
              <w:t>350,000.00</w:t>
            </w:r>
          </w:p>
        </w:tc>
        <w:tc>
          <w:tcPr>
            <w:tcW w:w="0" w:type="auto"/>
          </w:tcPr>
          <w:p>
            <w:pPr>
              <w:jc w:val="right"/>
            </w:pPr>
            <w:r>
              <w:rPr>
                <w:rFonts w:hint="eastAsia"/>
                <w:lang w:val="en-US" w:eastAsia="zh-CN"/>
              </w:rPr>
              <w:t>350,000.00</w:t>
            </w:r>
          </w:p>
        </w:tc>
        <w:tc>
          <w:tcPr>
            <w:tcW w:w="0" w:type="auto"/>
          </w:tcPr>
          <w:p>
            <w:r>
              <w:t>100.0</w:t>
            </w:r>
          </w:p>
        </w:tc>
        <w:tc>
          <w:tcPr>
            <w:tcW w:w="0" w:type="auto"/>
          </w:tcPr>
          <w:p>
            <w:r>
              <w:rPr>
                <w:rFonts w:hint="eastAsia"/>
              </w:rPr>
              <w:t>工业</w:t>
            </w:r>
          </w:p>
        </w:tc>
        <w:tc>
          <w:tcPr>
            <w:tcW w:w="0" w:type="auto"/>
          </w:tcPr>
          <w:p>
            <w:r>
              <w:t>详见附表一</w:t>
            </w:r>
          </w:p>
        </w:tc>
      </w:tr>
    </w:tbl>
    <w:p/>
    <w:p>
      <w:r>
        <w:rPr>
          <w:b/>
        </w:rPr>
        <w:t>附表一：</w:t>
      </w:r>
      <w:r>
        <w:rPr>
          <w:rFonts w:hint="eastAsia"/>
          <w:b/>
        </w:rPr>
        <w:t>广州市妇女儿童医疗中心</w:t>
      </w:r>
      <w:r>
        <w:rPr>
          <w:rFonts w:hint="eastAsia"/>
          <w:b/>
          <w:lang w:val="en-US" w:eastAsia="zh-CN"/>
        </w:rPr>
        <w:t>增城</w:t>
      </w:r>
      <w:r>
        <w:rPr>
          <w:rFonts w:hint="eastAsia"/>
          <w:b/>
        </w:rPr>
        <w:t>院区洁净空调滤网采购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参数性质</w:t>
            </w:r>
          </w:p>
        </w:tc>
        <w:tc>
          <w:tcPr>
            <w:tcW w:w="415"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1</w:t>
            </w:r>
          </w:p>
        </w:tc>
        <w:tc>
          <w:tcPr>
            <w:tcW w:w="5814" w:type="dxa"/>
          </w:tcPr>
          <w:p>
            <w:r>
              <w:t>见采购需求。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29" w:type="dxa"/>
            <w:gridSpan w:val="2"/>
          </w:tcPr>
          <w:p>
            <w:pPr>
              <w:jc w:val="left"/>
            </w:pPr>
            <w:r>
              <w:t>打“★”号条款为实质性条款，若有任何一条负偏离或不满足则导致</w:t>
            </w:r>
            <w:r>
              <w:rPr>
                <w:rFonts w:hint="eastAsia"/>
                <w:lang w:eastAsia="zh-CN"/>
              </w:rPr>
              <w:t>响应</w:t>
            </w:r>
            <w:r>
              <w:t>无效。</w:t>
            </w:r>
          </w:p>
          <w:p>
            <w:pPr>
              <w:jc w:val="left"/>
            </w:pPr>
            <w:r>
              <w:t>打“▲”号条款为重要技术参数，若有部分“▲”条款未响应或不满足，将导致其响应性评审加重扣分，但不作为无效</w:t>
            </w:r>
            <w:r>
              <w:rPr>
                <w:rFonts w:hint="eastAsia"/>
                <w:lang w:eastAsia="zh-CN"/>
              </w:rPr>
              <w:t>响应</w:t>
            </w:r>
            <w:r>
              <w:t>条款。</w:t>
            </w:r>
          </w:p>
        </w:tc>
      </w:tr>
    </w:tbl>
    <w:p>
      <w:pPr>
        <w:rPr>
          <w:rFonts w:hint="eastAsia"/>
        </w:rPr>
      </w:pPr>
    </w:p>
    <w:p>
      <w:pPr>
        <w:ind w:firstLine="480"/>
      </w:pPr>
    </w:p>
    <w:p>
      <w:pPr>
        <w:widowControl/>
        <w:spacing w:line="360" w:lineRule="auto"/>
        <w:jc w:val="left"/>
        <w:rPr>
          <w:rFonts w:ascii="宋体" w:hAnsi="宋体" w:cs="Mongolian Baiti"/>
          <w:b/>
          <w:bCs/>
          <w:sz w:val="24"/>
        </w:rPr>
      </w:pPr>
      <w:r>
        <w:rPr>
          <w:b/>
          <w:bCs/>
        </w:rPr>
        <w:t xml:space="preserve"> </w:t>
      </w:r>
      <w:r>
        <w:rPr>
          <w:rFonts w:hint="eastAsia"/>
          <w:b/>
          <w:bCs/>
          <w:lang w:eastAsia="zh-CN"/>
        </w:rPr>
        <w:t>六</w:t>
      </w:r>
      <w:r>
        <w:rPr>
          <w:rFonts w:hint="eastAsia" w:ascii="宋体" w:hAnsi="宋体" w:cs="Mongolian Baiti"/>
          <w:b/>
          <w:bCs/>
          <w:sz w:val="24"/>
          <w:lang w:eastAsia="zh-CN"/>
        </w:rPr>
        <w:t>．</w:t>
      </w:r>
      <w:r>
        <w:rPr>
          <w:rFonts w:hint="eastAsia" w:ascii="宋体" w:hAnsi="宋体" w:cs="Mongolian Baiti"/>
          <w:b/>
          <w:bCs/>
          <w:sz w:val="24"/>
        </w:rPr>
        <w:t>响应文件组成（</w:t>
      </w:r>
      <w:r>
        <w:rPr>
          <w:rFonts w:hint="eastAsia" w:ascii="宋体" w:hAnsi="宋体" w:cs="Mongolian Baiti"/>
          <w:b/>
          <w:bCs/>
          <w:sz w:val="24"/>
          <w:lang w:eastAsia="zh-CN"/>
        </w:rPr>
        <w:t>遴选小组</w:t>
      </w:r>
      <w:r>
        <w:rPr>
          <w:rFonts w:hint="eastAsia" w:ascii="宋体" w:hAnsi="宋体" w:cs="Mongolian Baiti"/>
          <w:b/>
          <w:bCs/>
          <w:sz w:val="24"/>
        </w:rPr>
        <w:t>根据以下资料进行项目评审，请各供应商如实提供）</w:t>
      </w:r>
    </w:p>
    <w:p>
      <w:pPr>
        <w:numPr>
          <w:ilvl w:val="1"/>
          <w:numId w:val="1"/>
        </w:numPr>
        <w:adjustRightInd w:val="0"/>
        <w:snapToGrid w:val="0"/>
        <w:spacing w:line="360" w:lineRule="auto"/>
        <w:ind w:left="424" w:leftChars="202" w:firstLine="0"/>
        <w:rPr>
          <w:rFonts w:ascii="宋体" w:hAnsi="宋体"/>
          <w:sz w:val="24"/>
        </w:rPr>
      </w:pPr>
      <w:r>
        <w:rPr>
          <w:rFonts w:hint="eastAsia" w:ascii="宋体" w:hAnsi="宋体"/>
          <w:sz w:val="24"/>
        </w:rPr>
        <w:t>《资格审查表》</w:t>
      </w:r>
    </w:p>
    <w:p>
      <w:pPr>
        <w:numPr>
          <w:ilvl w:val="1"/>
          <w:numId w:val="1"/>
        </w:numPr>
        <w:adjustRightInd w:val="0"/>
        <w:snapToGrid w:val="0"/>
        <w:spacing w:line="360" w:lineRule="auto"/>
        <w:ind w:left="424" w:leftChars="202" w:firstLine="0"/>
        <w:rPr>
          <w:rFonts w:ascii="宋体" w:hAnsi="宋体"/>
          <w:sz w:val="24"/>
        </w:rPr>
      </w:pPr>
      <w:r>
        <w:rPr>
          <w:rFonts w:hint="eastAsia" w:ascii="宋体" w:hAnsi="宋体"/>
          <w:sz w:val="24"/>
        </w:rPr>
        <w:t>提供供应商法定代表人证明书、法定代表人授权委托证明书；</w:t>
      </w:r>
    </w:p>
    <w:p>
      <w:pPr>
        <w:numPr>
          <w:ilvl w:val="1"/>
          <w:numId w:val="1"/>
        </w:numPr>
        <w:adjustRightInd w:val="0"/>
        <w:snapToGrid w:val="0"/>
        <w:spacing w:line="360" w:lineRule="auto"/>
        <w:ind w:left="424" w:leftChars="202" w:firstLine="0"/>
        <w:rPr>
          <w:rFonts w:ascii="宋体" w:hAnsi="宋体"/>
          <w:sz w:val="24"/>
        </w:rPr>
      </w:pPr>
      <w:r>
        <w:rPr>
          <w:rFonts w:hint="eastAsia" w:ascii="宋体" w:hAnsi="宋体"/>
          <w:sz w:val="24"/>
          <w:lang w:val="en-US" w:eastAsia="zh-CN"/>
        </w:rPr>
        <w:t>提供</w:t>
      </w:r>
      <w:r>
        <w:rPr>
          <w:rFonts w:hint="eastAsia"/>
        </w:rPr>
        <w:t>实质性响应一览表</w:t>
      </w:r>
    </w:p>
    <w:p>
      <w:pPr>
        <w:numPr>
          <w:ilvl w:val="1"/>
          <w:numId w:val="1"/>
        </w:numPr>
        <w:adjustRightInd w:val="0"/>
        <w:snapToGrid w:val="0"/>
        <w:spacing w:line="360" w:lineRule="auto"/>
        <w:ind w:left="424" w:leftChars="202" w:firstLine="0"/>
        <w:rPr>
          <w:rFonts w:ascii="宋体" w:hAnsi="宋体"/>
          <w:sz w:val="24"/>
        </w:rPr>
      </w:pPr>
      <w:r>
        <w:rPr>
          <w:rFonts w:hint="eastAsia" w:ascii="宋体" w:hAnsi="宋体"/>
          <w:sz w:val="24"/>
        </w:rPr>
        <w:t>《业绩一览表》：</w:t>
      </w:r>
      <w:r>
        <w:rPr>
          <w:rFonts w:ascii="宋体" w:hAnsi="宋体"/>
          <w:sz w:val="24"/>
        </w:rPr>
        <w:t>20</w:t>
      </w:r>
      <w:r>
        <w:rPr>
          <w:rFonts w:hint="eastAsia" w:ascii="宋体" w:hAnsi="宋体"/>
          <w:sz w:val="24"/>
        </w:rPr>
        <w:t>20年</w:t>
      </w:r>
      <w:r>
        <w:rPr>
          <w:rFonts w:ascii="宋体" w:hAnsi="宋体"/>
          <w:sz w:val="24"/>
        </w:rPr>
        <w:t>1</w:t>
      </w:r>
      <w:r>
        <w:rPr>
          <w:rFonts w:hint="eastAsia" w:ascii="宋体" w:hAnsi="宋体"/>
          <w:sz w:val="24"/>
        </w:rPr>
        <w:t>月至今（合同签订时间为准）的同类项目业绩情况（需提供项目合同</w:t>
      </w:r>
      <w:r>
        <w:rPr>
          <w:rFonts w:hint="eastAsia" w:ascii="宋体" w:hAnsi="宋体"/>
          <w:sz w:val="24"/>
          <w:lang w:eastAsia="zh-CN"/>
        </w:rPr>
        <w:t>、</w:t>
      </w:r>
      <w:r>
        <w:rPr>
          <w:rFonts w:hint="eastAsia"/>
          <w:color w:val="000000" w:themeColor="text1"/>
          <w:highlight w:val="none"/>
          <w14:textFill>
            <w14:solidFill>
              <w14:schemeClr w14:val="tx1"/>
            </w14:solidFill>
          </w14:textFill>
        </w:rPr>
        <w:t>业主评价及相关证明材料</w:t>
      </w:r>
      <w:r>
        <w:rPr>
          <w:rFonts w:hint="eastAsia" w:ascii="宋体" w:hAnsi="宋体"/>
          <w:sz w:val="24"/>
        </w:rPr>
        <w:t>及维保发票，加盖公章）</w:t>
      </w:r>
    </w:p>
    <w:p>
      <w:pPr>
        <w:numPr>
          <w:ilvl w:val="1"/>
          <w:numId w:val="1"/>
        </w:numPr>
        <w:adjustRightInd w:val="0"/>
        <w:snapToGrid w:val="0"/>
        <w:spacing w:line="360" w:lineRule="auto"/>
        <w:ind w:left="424" w:leftChars="202" w:firstLine="0"/>
        <w:rPr>
          <w:rFonts w:ascii="宋体" w:hAnsi="宋体"/>
          <w:sz w:val="24"/>
        </w:rPr>
      </w:pPr>
      <w:r>
        <w:rPr>
          <w:rFonts w:hint="eastAsia" w:ascii="宋体" w:hAnsi="宋体"/>
          <w:sz w:val="24"/>
        </w:rPr>
        <w:t>《项目负责人及其他服务人员一览表》、人员架构图（根据采购需求中提供项目负责人（项目经理）、技术主管上述人员材料（职称证书、项目管理经验等）扫描件，并提供上述人员在供应商任职的外部证明材料，加盖政府有关部门印章的打印日期在本项目</w:t>
      </w:r>
      <w:r>
        <w:rPr>
          <w:rFonts w:hint="eastAsia" w:ascii="宋体" w:hAnsi="宋体"/>
          <w:sz w:val="24"/>
          <w:lang w:eastAsia="zh-CN"/>
        </w:rPr>
        <w:t>响应</w:t>
      </w:r>
      <w:r>
        <w:rPr>
          <w:rFonts w:hint="eastAsia" w:ascii="宋体" w:hAnsi="宋体"/>
          <w:sz w:val="24"/>
        </w:rPr>
        <w:t>截止日之前六个月以内任意一个月的《投保单》或《社会保险参保人员证明》，或单位代缴个人所得税税单等。）</w:t>
      </w:r>
    </w:p>
    <w:p>
      <w:pPr>
        <w:numPr>
          <w:ilvl w:val="1"/>
          <w:numId w:val="1"/>
        </w:numPr>
        <w:adjustRightInd w:val="0"/>
        <w:snapToGrid w:val="0"/>
        <w:spacing w:line="360" w:lineRule="auto"/>
        <w:ind w:left="424" w:leftChars="202" w:firstLine="0"/>
        <w:rPr>
          <w:rFonts w:ascii="宋体" w:hAnsi="宋体"/>
          <w:sz w:val="24"/>
        </w:rPr>
      </w:pPr>
      <w:r>
        <w:rPr>
          <w:rFonts w:hint="eastAsia" w:ascii="宋体" w:hAnsi="宋体"/>
          <w:sz w:val="24"/>
        </w:rPr>
        <w:t>项目报价表（格式自拟，加盖公司公章）</w:t>
      </w:r>
    </w:p>
    <w:p>
      <w:pPr>
        <w:adjustRightInd w:val="0"/>
        <w:snapToGrid w:val="0"/>
        <w:spacing w:line="360" w:lineRule="auto"/>
        <w:ind w:left="424"/>
        <w:rPr>
          <w:rFonts w:ascii="宋体" w:hAnsi="宋体"/>
          <w:sz w:val="24"/>
        </w:rPr>
      </w:pPr>
      <w:r>
        <w:rPr>
          <w:rFonts w:hint="eastAsia" w:ascii="宋体" w:hAnsi="宋体"/>
          <w:sz w:val="24"/>
          <w:lang w:val="en-US" w:eastAsia="zh-CN"/>
        </w:rPr>
        <w:t>7</w:t>
      </w:r>
      <w:r>
        <w:rPr>
          <w:rFonts w:hint="eastAsia" w:ascii="宋体" w:hAnsi="宋体"/>
          <w:sz w:val="24"/>
        </w:rPr>
        <w:t>、服务方案：包括但不限于项目服务计划和实施方案（服务计划的时间安排、内容的计划、方案实施的具体事项、对实施过程的各因素分析把握等）；质量管理措施（培训机制、安全管理、对本项目的质量管理措施）、应急抢修服务方案（应急抢修范围、应急抢修保证措施等）等。（格式自拟）</w:t>
      </w:r>
    </w:p>
    <w:p>
      <w:pPr>
        <w:adjustRightInd w:val="0"/>
        <w:snapToGrid w:val="0"/>
        <w:spacing w:line="360" w:lineRule="auto"/>
        <w:ind w:left="424"/>
        <w:rPr>
          <w:rFonts w:hint="eastAsia" w:ascii="宋体" w:hAnsi="宋体"/>
          <w:sz w:val="24"/>
        </w:rPr>
      </w:pPr>
      <w:r>
        <w:rPr>
          <w:rFonts w:hint="eastAsia" w:ascii="宋体" w:hAnsi="宋体"/>
          <w:sz w:val="24"/>
          <w:lang w:val="en-US" w:eastAsia="zh-CN"/>
        </w:rPr>
        <w:t>8</w:t>
      </w:r>
      <w:r>
        <w:rPr>
          <w:rFonts w:hint="eastAsia" w:ascii="宋体" w:hAnsi="宋体"/>
          <w:sz w:val="24"/>
        </w:rPr>
        <w:t>、供应商有效的质量体系认证证书、环境管理体系认证证书、职业健康安全管理体系认证证书。</w:t>
      </w:r>
    </w:p>
    <w:p>
      <w:pPr>
        <w:numPr>
          <w:ilvl w:val="0"/>
          <w:numId w:val="0"/>
        </w:numPr>
        <w:ind w:left="479" w:leftChars="228" w:firstLine="0" w:firstLineChars="0"/>
        <w:rPr>
          <w:rFonts w:hint="eastAsia" w:ascii="宋体" w:hAnsi="宋体"/>
          <w:sz w:val="24"/>
          <w:lang w:val="en-US" w:eastAsia="zh-CN"/>
        </w:rPr>
      </w:pPr>
      <w:r>
        <w:rPr>
          <w:rFonts w:hint="eastAsia" w:ascii="宋体" w:hAnsi="宋体"/>
          <w:sz w:val="24"/>
          <w:lang w:val="en-US" w:eastAsia="zh-CN"/>
        </w:rPr>
        <w:t>9、</w:t>
      </w:r>
      <w:r>
        <w:rPr>
          <w:rFonts w:hint="eastAsia" w:ascii="宋体" w:hAnsi="宋体"/>
          <w:sz w:val="24"/>
        </w:rPr>
        <w:t>产品可靠性</w:t>
      </w:r>
      <w:r>
        <w:rPr>
          <w:rFonts w:hint="eastAsia" w:ascii="宋体" w:hAnsi="宋体"/>
          <w:sz w:val="24"/>
          <w:lang w:eastAsia="zh-CN"/>
        </w:rPr>
        <w:t>：</w:t>
      </w:r>
      <w:r>
        <w:rPr>
          <w:rFonts w:hint="eastAsia" w:ascii="宋体" w:hAnsi="宋体"/>
          <w:sz w:val="24"/>
        </w:rPr>
        <w:t>产品技术水平在同类产品中领先，技术成熟性、设备可靠性强，明显优于同类产品。公司提供一下佐证资料</w:t>
      </w:r>
      <w:r>
        <w:rPr>
          <w:rFonts w:hint="eastAsia" w:ascii="宋体" w:hAnsi="宋体"/>
          <w:sz w:val="24"/>
          <w:lang w:val="en-US" w:eastAsia="zh-CN"/>
        </w:rPr>
        <w:t>.</w:t>
      </w:r>
    </w:p>
    <w:p>
      <w:pPr>
        <w:numPr>
          <w:ilvl w:val="0"/>
          <w:numId w:val="0"/>
        </w:numPr>
        <w:ind w:left="479" w:leftChars="228" w:firstLine="0" w:firstLineChars="0"/>
        <w:rPr>
          <w:rFonts w:hint="eastAsia" w:ascii="宋体" w:hAnsi="宋体"/>
          <w:sz w:val="24"/>
          <w:lang w:val="en-US" w:eastAsia="zh-CN"/>
        </w:rPr>
      </w:pPr>
    </w:p>
    <w:p>
      <w:pPr>
        <w:numPr>
          <w:ilvl w:val="0"/>
          <w:numId w:val="2"/>
        </w:numPr>
        <w:ind w:leftChars="228"/>
        <w:rPr>
          <w:rFonts w:hint="eastAsia" w:ascii="宋体" w:hAnsi="宋体"/>
          <w:sz w:val="24"/>
        </w:rPr>
      </w:pPr>
      <w:r>
        <w:rPr>
          <w:rFonts w:hint="eastAsia" w:ascii="宋体" w:hAnsi="宋体"/>
          <w:sz w:val="24"/>
          <w:lang w:val="en-US" w:eastAsia="zh-CN"/>
        </w:rPr>
        <w:t>产品授权：</w:t>
      </w:r>
      <w:r>
        <w:rPr>
          <w:rFonts w:hint="eastAsia" w:ascii="宋体" w:hAnsi="宋体"/>
          <w:sz w:val="24"/>
        </w:rPr>
        <w:t>为了保证产品具有追溯性且保证质量，</w:t>
      </w:r>
      <w:r>
        <w:rPr>
          <w:rFonts w:hint="eastAsia" w:ascii="宋体" w:hAnsi="宋体"/>
          <w:sz w:val="24"/>
          <w:lang w:eastAsia="zh-CN"/>
        </w:rPr>
        <w:t>响应</w:t>
      </w:r>
      <w:r>
        <w:rPr>
          <w:rFonts w:hint="eastAsia" w:ascii="宋体" w:hAnsi="宋体"/>
          <w:sz w:val="24"/>
        </w:rPr>
        <w:t>人为所投产品（过滤器）代理商、经销商</w:t>
      </w:r>
      <w:r>
        <w:rPr>
          <w:rFonts w:hint="eastAsia" w:ascii="宋体" w:hAnsi="宋体"/>
          <w:sz w:val="24"/>
          <w:lang w:eastAsia="zh-CN"/>
        </w:rPr>
        <w:t>响应</w:t>
      </w:r>
      <w:r>
        <w:rPr>
          <w:rFonts w:hint="eastAsia" w:ascii="宋体" w:hAnsi="宋体"/>
          <w:sz w:val="24"/>
        </w:rPr>
        <w:t>的，提供生产企业或其授权的经销商（代理商）出具的有效授权证明的或</w:t>
      </w:r>
      <w:r>
        <w:rPr>
          <w:rFonts w:hint="eastAsia" w:ascii="宋体" w:hAnsi="宋体"/>
          <w:sz w:val="24"/>
          <w:lang w:eastAsia="zh-CN"/>
        </w:rPr>
        <w:t>响应</w:t>
      </w:r>
      <w:r>
        <w:rPr>
          <w:rFonts w:hint="eastAsia" w:ascii="宋体" w:hAnsi="宋体"/>
          <w:sz w:val="24"/>
        </w:rPr>
        <w:t>人为所投产品（过滤器）生产企业</w:t>
      </w:r>
      <w:r>
        <w:rPr>
          <w:rFonts w:hint="eastAsia" w:ascii="宋体" w:hAnsi="宋体"/>
          <w:sz w:val="24"/>
          <w:lang w:eastAsia="zh-CN"/>
        </w:rPr>
        <w:t>响应</w:t>
      </w:r>
      <w:r>
        <w:rPr>
          <w:rFonts w:hint="eastAsia" w:ascii="宋体" w:hAnsi="宋体"/>
          <w:sz w:val="24"/>
        </w:rPr>
        <w:t>的（需提供相关证明文件）</w:t>
      </w:r>
    </w:p>
    <w:p>
      <w:pPr>
        <w:numPr>
          <w:ilvl w:val="0"/>
          <w:numId w:val="0"/>
        </w:numPr>
        <w:ind w:leftChars="228"/>
        <w:rPr>
          <w:rFonts w:hint="eastAsia"/>
        </w:rPr>
      </w:pPr>
    </w:p>
    <w:p>
      <w:pPr>
        <w:rPr>
          <w:rFonts w:hint="eastAsia" w:ascii="宋体" w:hAnsi="宋体" w:cs="Mongolian Baiti"/>
          <w:sz w:val="24"/>
        </w:rPr>
      </w:pPr>
    </w:p>
    <w:p>
      <w:pPr>
        <w:widowControl/>
        <w:spacing w:line="360" w:lineRule="auto"/>
        <w:jc w:val="left"/>
        <w:rPr>
          <w:rFonts w:ascii="宋体" w:hAnsi="宋体" w:cs="Mongolian Baiti"/>
          <w:b/>
          <w:bCs/>
          <w:sz w:val="24"/>
        </w:rPr>
      </w:pPr>
      <w:r>
        <w:rPr>
          <w:rFonts w:hint="eastAsia" w:ascii="宋体" w:hAnsi="宋体" w:cs="Mongolian Baiti"/>
          <w:b/>
          <w:bCs/>
          <w:sz w:val="24"/>
          <w:lang w:eastAsia="zh-CN"/>
        </w:rPr>
        <w:t>七</w:t>
      </w:r>
      <w:r>
        <w:rPr>
          <w:rFonts w:hint="eastAsia" w:ascii="宋体" w:hAnsi="宋体" w:cs="Mongolian Baiti"/>
          <w:b/>
          <w:bCs/>
          <w:sz w:val="24"/>
        </w:rPr>
        <w:t>、响应文件的份数、签署、密封递交</w:t>
      </w:r>
    </w:p>
    <w:p>
      <w:pPr>
        <w:numPr>
          <w:ilvl w:val="0"/>
          <w:numId w:val="3"/>
        </w:numPr>
        <w:tabs>
          <w:tab w:val="left" w:pos="426"/>
        </w:tabs>
        <w:adjustRightInd w:val="0"/>
        <w:snapToGrid w:val="0"/>
        <w:spacing w:line="360" w:lineRule="auto"/>
        <w:ind w:firstLine="66"/>
        <w:rPr>
          <w:rFonts w:ascii="宋体" w:hAnsi="宋体"/>
          <w:sz w:val="24"/>
        </w:rPr>
      </w:pPr>
      <w:r>
        <w:rPr>
          <w:rFonts w:hint="eastAsia" w:ascii="宋体" w:hAnsi="宋体"/>
          <w:sz w:val="24"/>
        </w:rPr>
        <w:t xml:space="preserve">响应文件应装订成册，提交响应文件五份；  </w:t>
      </w:r>
    </w:p>
    <w:p>
      <w:pPr>
        <w:numPr>
          <w:ilvl w:val="0"/>
          <w:numId w:val="3"/>
        </w:numPr>
        <w:tabs>
          <w:tab w:val="left" w:pos="426"/>
        </w:tabs>
        <w:adjustRightInd w:val="0"/>
        <w:snapToGrid w:val="0"/>
        <w:spacing w:line="360" w:lineRule="auto"/>
        <w:ind w:firstLine="66"/>
        <w:rPr>
          <w:rFonts w:ascii="宋体" w:hAnsi="宋体"/>
          <w:sz w:val="24"/>
        </w:rPr>
      </w:pPr>
      <w:r>
        <w:rPr>
          <w:rFonts w:hint="eastAsia" w:ascii="宋体" w:hAnsi="宋体"/>
          <w:sz w:val="24"/>
        </w:rPr>
        <w:t>响应文件有需要盖章或签署的部分，应由供应商法定代表人和其授权代理人亲自签署或盖印鉴，并加盖法人单位公章。</w:t>
      </w:r>
    </w:p>
    <w:p>
      <w:pPr>
        <w:numPr>
          <w:ilvl w:val="0"/>
          <w:numId w:val="3"/>
        </w:numPr>
        <w:tabs>
          <w:tab w:val="left" w:pos="426"/>
        </w:tabs>
        <w:adjustRightInd w:val="0"/>
        <w:snapToGrid w:val="0"/>
        <w:spacing w:line="360" w:lineRule="auto"/>
        <w:ind w:firstLine="66"/>
        <w:rPr>
          <w:rFonts w:ascii="宋体" w:hAnsi="宋体"/>
          <w:sz w:val="24"/>
        </w:rPr>
      </w:pPr>
      <w:r>
        <w:rPr>
          <w:rFonts w:hint="eastAsia" w:ascii="宋体" w:hAnsi="宋体"/>
          <w:sz w:val="24"/>
        </w:rPr>
        <w:t>供应商应递交密封的响应文件，无密封的响应文件采购人将拒绝接收；</w:t>
      </w:r>
    </w:p>
    <w:p>
      <w:pPr>
        <w:tabs>
          <w:tab w:val="left" w:pos="426"/>
        </w:tabs>
        <w:spacing w:line="360" w:lineRule="auto"/>
        <w:ind w:left="424" w:leftChars="202"/>
        <w:rPr>
          <w:rFonts w:ascii="宋体" w:hAnsi="宋体"/>
          <w:sz w:val="24"/>
        </w:rPr>
      </w:pPr>
      <w:r>
        <w:rPr>
          <w:rFonts w:hint="eastAsia" w:ascii="宋体" w:hAnsi="宋体"/>
          <w:sz w:val="24"/>
        </w:rPr>
        <w:t>4、有如下情况之一者，属无效标书：</w:t>
      </w:r>
    </w:p>
    <w:p>
      <w:pPr>
        <w:tabs>
          <w:tab w:val="left" w:pos="426"/>
        </w:tabs>
        <w:spacing w:line="360" w:lineRule="auto"/>
        <w:ind w:firstLine="424" w:firstLineChars="177"/>
        <w:rPr>
          <w:rFonts w:ascii="宋体" w:hAnsi="宋体"/>
          <w:sz w:val="24"/>
        </w:rPr>
      </w:pPr>
      <w:r>
        <w:rPr>
          <w:rFonts w:hint="eastAsia" w:ascii="宋体" w:hAnsi="宋体"/>
          <w:sz w:val="24"/>
        </w:rPr>
        <w:t>（1）响应文件未密封和未盖骑缝章；</w:t>
      </w:r>
    </w:p>
    <w:p>
      <w:pPr>
        <w:tabs>
          <w:tab w:val="left" w:pos="426"/>
        </w:tabs>
        <w:adjustRightInd w:val="0"/>
        <w:snapToGrid w:val="0"/>
        <w:spacing w:line="360" w:lineRule="auto"/>
        <w:ind w:firstLine="424" w:firstLineChars="177"/>
        <w:rPr>
          <w:rFonts w:ascii="宋体" w:hAnsi="宋体"/>
          <w:sz w:val="24"/>
        </w:rPr>
      </w:pPr>
      <w:r>
        <w:rPr>
          <w:rFonts w:hint="eastAsia" w:ascii="宋体" w:hAnsi="宋体"/>
          <w:sz w:val="24"/>
        </w:rPr>
        <w:t xml:space="preserve">（2）没有提供营业执照复印件、法人代表证明书或法人授权委托书以及承诺书，或未加盖单位公章； </w:t>
      </w:r>
    </w:p>
    <w:p>
      <w:pPr>
        <w:tabs>
          <w:tab w:val="left" w:pos="426"/>
        </w:tabs>
        <w:adjustRightInd w:val="0"/>
        <w:snapToGrid w:val="0"/>
        <w:spacing w:line="360" w:lineRule="auto"/>
        <w:ind w:firstLine="424" w:firstLineChars="177"/>
        <w:rPr>
          <w:rFonts w:ascii="宋体" w:hAnsi="宋体"/>
          <w:sz w:val="24"/>
        </w:rPr>
      </w:pPr>
      <w:r>
        <w:rPr>
          <w:rFonts w:hint="eastAsia" w:ascii="宋体" w:hAnsi="宋体"/>
          <w:sz w:val="24"/>
        </w:rPr>
        <w:t>（3）提供虚假的参数、业绩等资料。</w:t>
      </w:r>
    </w:p>
    <w:p>
      <w:pPr>
        <w:widowControl/>
        <w:spacing w:line="360" w:lineRule="auto"/>
        <w:jc w:val="left"/>
        <w:rPr>
          <w:rFonts w:ascii="宋体" w:hAnsi="宋体" w:cs="Mongolian Baiti"/>
          <w:b/>
          <w:bCs/>
          <w:sz w:val="24"/>
        </w:rPr>
      </w:pPr>
      <w:r>
        <w:rPr>
          <w:rFonts w:hint="eastAsia" w:ascii="宋体" w:hAnsi="宋体" w:cs="Mongolian Baiti"/>
          <w:b/>
          <w:bCs/>
          <w:sz w:val="24"/>
          <w:lang w:eastAsia="zh-CN"/>
        </w:rPr>
        <w:t>八</w:t>
      </w:r>
      <w:r>
        <w:rPr>
          <w:rFonts w:hint="eastAsia" w:ascii="宋体" w:hAnsi="宋体" w:cs="Mongolian Baiti"/>
          <w:b/>
          <w:bCs/>
          <w:sz w:val="24"/>
        </w:rPr>
        <w:t>、迟交的响应文件</w:t>
      </w:r>
    </w:p>
    <w:p>
      <w:pPr>
        <w:spacing w:line="360" w:lineRule="auto"/>
        <w:ind w:left="-1" w:firstLine="424" w:firstLineChars="177"/>
        <w:rPr>
          <w:rFonts w:ascii="宋体" w:hAnsi="宋体"/>
          <w:sz w:val="24"/>
        </w:rPr>
      </w:pPr>
      <w:r>
        <w:rPr>
          <w:rFonts w:hint="eastAsia" w:ascii="宋体" w:hAnsi="宋体"/>
          <w:sz w:val="24"/>
        </w:rPr>
        <w:t>供应商在规定的</w:t>
      </w:r>
      <w:r>
        <w:rPr>
          <w:rFonts w:hint="eastAsia" w:ascii="宋体" w:hAnsi="宋体"/>
          <w:sz w:val="24"/>
          <w:lang w:eastAsia="zh-CN"/>
        </w:rPr>
        <w:t>响应</w:t>
      </w:r>
      <w:r>
        <w:rPr>
          <w:rFonts w:hint="eastAsia" w:ascii="宋体" w:hAnsi="宋体"/>
          <w:sz w:val="24"/>
        </w:rPr>
        <w:t>截止时间以后收到的响应文件，将被采购人拒绝并退回。</w:t>
      </w:r>
    </w:p>
    <w:p>
      <w:pPr>
        <w:widowControl/>
        <w:spacing w:line="360" w:lineRule="auto"/>
        <w:jc w:val="left"/>
        <w:rPr>
          <w:rFonts w:ascii="宋体" w:hAnsi="宋体" w:cs="Mongolian Baiti"/>
          <w:b/>
          <w:bCs/>
          <w:sz w:val="24"/>
        </w:rPr>
      </w:pPr>
      <w:r>
        <w:rPr>
          <w:rFonts w:hint="eastAsia" w:ascii="宋体" w:hAnsi="宋体" w:cs="Mongolian Baiti"/>
          <w:b/>
          <w:bCs/>
          <w:sz w:val="24"/>
          <w:lang w:eastAsia="zh-CN"/>
        </w:rPr>
        <w:t>九</w:t>
      </w:r>
      <w:r>
        <w:rPr>
          <w:rFonts w:hint="eastAsia" w:ascii="宋体" w:hAnsi="宋体" w:cs="Mongolian Baiti"/>
          <w:b/>
          <w:bCs/>
          <w:sz w:val="24"/>
        </w:rPr>
        <w:t>、响应文件的补充、修改与撤回</w:t>
      </w:r>
    </w:p>
    <w:p>
      <w:pPr>
        <w:spacing w:line="360" w:lineRule="auto"/>
        <w:ind w:left="-1" w:firstLine="424" w:firstLineChars="177"/>
        <w:rPr>
          <w:rFonts w:ascii="宋体" w:hAnsi="宋体"/>
          <w:sz w:val="24"/>
        </w:rPr>
      </w:pPr>
      <w:r>
        <w:rPr>
          <w:rFonts w:hint="eastAsia" w:ascii="宋体" w:hAnsi="宋体"/>
          <w:sz w:val="24"/>
        </w:rPr>
        <w:t>在</w:t>
      </w:r>
      <w:r>
        <w:rPr>
          <w:rFonts w:hint="eastAsia" w:ascii="宋体" w:hAnsi="宋体"/>
          <w:sz w:val="24"/>
          <w:lang w:eastAsia="zh-CN"/>
        </w:rPr>
        <w:t>响应</w:t>
      </w:r>
      <w:r>
        <w:rPr>
          <w:rFonts w:hint="eastAsia" w:ascii="宋体" w:hAnsi="宋体"/>
          <w:sz w:val="24"/>
        </w:rPr>
        <w:t>截止时间之后，供应商不得补充、修改、撤回响应文件。</w:t>
      </w:r>
    </w:p>
    <w:p>
      <w:pPr>
        <w:widowControl/>
        <w:spacing w:line="360" w:lineRule="auto"/>
        <w:jc w:val="left"/>
        <w:rPr>
          <w:rFonts w:ascii="宋体" w:hAnsi="宋体" w:cs="Mongolian Baiti"/>
          <w:sz w:val="24"/>
        </w:rPr>
      </w:pPr>
      <w:r>
        <w:rPr>
          <w:rFonts w:hint="eastAsia" w:ascii="宋体" w:hAnsi="宋体" w:cs="Mongolian Baiti"/>
          <w:b/>
          <w:bCs/>
          <w:sz w:val="24"/>
        </w:rPr>
        <w:t>十、遴选方法：由遴选小组进行综合评选</w:t>
      </w:r>
    </w:p>
    <w:p>
      <w:pPr>
        <w:widowControl/>
        <w:spacing w:line="360" w:lineRule="auto"/>
        <w:jc w:val="left"/>
        <w:rPr>
          <w:rFonts w:ascii="宋体" w:hAnsi="宋体" w:cs="Mongolian Baiti"/>
          <w:b/>
          <w:bCs/>
          <w:sz w:val="24"/>
        </w:rPr>
      </w:pPr>
      <w:r>
        <w:rPr>
          <w:rFonts w:hint="eastAsia" w:ascii="宋体" w:hAnsi="宋体" w:cs="Mongolian Baiti"/>
          <w:b/>
          <w:bCs/>
          <w:sz w:val="24"/>
        </w:rPr>
        <w:t>十</w:t>
      </w:r>
      <w:r>
        <w:rPr>
          <w:rFonts w:hint="eastAsia" w:ascii="宋体" w:hAnsi="宋体" w:cs="Mongolian Baiti"/>
          <w:b/>
          <w:bCs/>
          <w:sz w:val="24"/>
          <w:lang w:eastAsia="zh-CN"/>
        </w:rPr>
        <w:t>一</w:t>
      </w:r>
      <w:r>
        <w:rPr>
          <w:rFonts w:hint="eastAsia" w:ascii="宋体" w:hAnsi="宋体" w:cs="Mongolian Baiti"/>
          <w:b/>
          <w:bCs/>
          <w:sz w:val="24"/>
        </w:rPr>
        <w:t>、遴选结果通知</w:t>
      </w:r>
    </w:p>
    <w:p>
      <w:pPr>
        <w:spacing w:line="360" w:lineRule="auto"/>
        <w:ind w:firstLine="480" w:firstLineChars="200"/>
        <w:rPr>
          <w:rFonts w:ascii="Times New Roman" w:hAnsi="Times New Roman"/>
          <w:sz w:val="24"/>
        </w:rPr>
      </w:pPr>
      <w:r>
        <w:rPr>
          <w:rFonts w:hint="eastAsia" w:ascii="宋体" w:hAnsi="宋体"/>
          <w:sz w:val="24"/>
        </w:rPr>
        <w:t>成交供应商确定后，采购人将在发布</w:t>
      </w:r>
      <w:r>
        <w:rPr>
          <w:rFonts w:hint="eastAsia" w:ascii="宋体" w:hAnsi="宋体"/>
          <w:sz w:val="24"/>
          <w:lang w:eastAsia="zh-CN"/>
        </w:rPr>
        <w:t>遴选</w:t>
      </w:r>
      <w:r>
        <w:rPr>
          <w:rFonts w:hint="eastAsia" w:ascii="宋体" w:hAnsi="宋体"/>
          <w:sz w:val="24"/>
        </w:rPr>
        <w:t>信息公告的媒体上发布成交公告。</w:t>
      </w:r>
    </w:p>
    <w:p>
      <w:pPr>
        <w:widowControl/>
        <w:spacing w:line="360" w:lineRule="auto"/>
        <w:jc w:val="left"/>
        <w:rPr>
          <w:rFonts w:ascii="宋体" w:hAnsi="宋体" w:cs="Mongolian Baiti"/>
          <w:b/>
          <w:bCs/>
          <w:sz w:val="24"/>
        </w:rPr>
      </w:pPr>
      <w:r>
        <w:rPr>
          <w:rFonts w:hint="eastAsia" w:ascii="宋体" w:hAnsi="宋体" w:cs="Mongolian Baiti"/>
          <w:b/>
          <w:bCs/>
          <w:sz w:val="24"/>
        </w:rPr>
        <w:t>十二、协议的订立</w:t>
      </w:r>
    </w:p>
    <w:p>
      <w:pPr>
        <w:spacing w:line="360" w:lineRule="auto"/>
        <w:ind w:firstLine="480" w:firstLineChars="200"/>
        <w:rPr>
          <w:rFonts w:ascii="宋体" w:hAnsi="宋体"/>
          <w:sz w:val="24"/>
        </w:rPr>
      </w:pPr>
      <w:r>
        <w:rPr>
          <w:rFonts w:hint="eastAsia" w:ascii="宋体" w:hAnsi="宋体"/>
          <w:sz w:val="24"/>
        </w:rPr>
        <w:t>采购人与成交供应商按遴选文件要求和成交供应商响应文件承诺签订协议。</w:t>
      </w:r>
    </w:p>
    <w:p>
      <w:pPr>
        <w:spacing w:line="360" w:lineRule="auto"/>
        <w:rPr>
          <w:rFonts w:ascii="宋体" w:hAnsi="宋体"/>
          <w:b/>
          <w:bCs/>
          <w:sz w:val="24"/>
        </w:rPr>
      </w:pPr>
      <w:r>
        <w:rPr>
          <w:rFonts w:hint="eastAsia" w:ascii="宋体" w:hAnsi="宋体"/>
          <w:b/>
          <w:bCs/>
          <w:sz w:val="24"/>
        </w:rPr>
        <w:t>十</w:t>
      </w:r>
      <w:r>
        <w:rPr>
          <w:rFonts w:hint="eastAsia" w:ascii="宋体" w:hAnsi="宋体"/>
          <w:b/>
          <w:bCs/>
          <w:sz w:val="24"/>
          <w:lang w:eastAsia="zh-CN"/>
        </w:rPr>
        <w:t>三</w:t>
      </w:r>
      <w:r>
        <w:rPr>
          <w:rFonts w:hint="eastAsia" w:ascii="宋体" w:hAnsi="宋体"/>
          <w:b/>
          <w:bCs/>
          <w:sz w:val="24"/>
        </w:rPr>
        <w:t>、附件</w:t>
      </w:r>
    </w:p>
    <w:p>
      <w:pPr>
        <w:spacing w:before="100" w:beforeAutospacing="1"/>
        <w:rPr>
          <w:rFonts w:ascii="宋体" w:hAnsi="宋体"/>
          <w:b/>
          <w:bCs/>
          <w:sz w:val="24"/>
        </w:rPr>
      </w:pPr>
      <w:r>
        <w:rPr>
          <w:rFonts w:hint="eastAsia" w:ascii="宋体" w:hAnsi="宋体"/>
          <w:sz w:val="24"/>
        </w:rPr>
        <w:t>（一）、《资格审查表》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7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hint="eastAsia" w:ascii="Times New Roman" w:hAnsi="Times New Roman"/>
                <w:szCs w:val="21"/>
              </w:rPr>
              <w:t>序号</w:t>
            </w:r>
          </w:p>
        </w:tc>
        <w:tc>
          <w:tcPr>
            <w:tcW w:w="7421" w:type="dxa"/>
            <w:tcBorders>
              <w:top w:val="single" w:color="auto" w:sz="4" w:space="0"/>
              <w:left w:val="nil"/>
              <w:bottom w:val="single" w:color="auto" w:sz="4" w:space="0"/>
              <w:right w:val="single" w:color="auto" w:sz="4" w:space="0"/>
            </w:tcBorders>
          </w:tcPr>
          <w:p>
            <w:pPr>
              <w:rPr>
                <w:rFonts w:ascii="Times New Roman" w:hAnsi="Times New Roman"/>
                <w:szCs w:val="21"/>
              </w:rPr>
            </w:pPr>
            <w:r>
              <w:rPr>
                <w:rFonts w:hint="eastAsia" w:ascii="Times New Roman" w:hAnsi="Times New Roman"/>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1</w:t>
            </w:r>
          </w:p>
        </w:tc>
        <w:tc>
          <w:tcPr>
            <w:tcW w:w="742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olor w:val="000000"/>
                <w:sz w:val="24"/>
              </w:rPr>
            </w:pPr>
            <w:r>
              <w:rPr>
                <w:rFonts w:hint="eastAsia" w:ascii="宋体" w:hAnsi="宋体"/>
                <w:color w:val="000000"/>
                <w:sz w:val="24"/>
              </w:rPr>
              <w:t>具有独立承担民事责任的能力：在中华人民共和国境内注册的法人或其他组织或自然人。分支机构</w:t>
            </w:r>
            <w:r>
              <w:rPr>
                <w:rFonts w:hint="eastAsia" w:ascii="宋体" w:hAnsi="宋体"/>
                <w:color w:val="000000"/>
                <w:sz w:val="24"/>
                <w:lang w:eastAsia="zh-CN"/>
              </w:rPr>
              <w:t>响应</w:t>
            </w:r>
            <w:r>
              <w:rPr>
                <w:rFonts w:hint="eastAsia" w:ascii="宋体" w:hAnsi="宋体"/>
                <w:color w:val="000000"/>
                <w:sz w:val="24"/>
              </w:rPr>
              <w:t xml:space="preserve">的，总公司出具给分支机构的授权书。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2</w:t>
            </w:r>
          </w:p>
        </w:tc>
        <w:tc>
          <w:tcPr>
            <w:tcW w:w="7421" w:type="dxa"/>
            <w:tcBorders>
              <w:top w:val="single" w:color="auto" w:sz="4" w:space="0"/>
              <w:left w:val="nil"/>
              <w:bottom w:val="single" w:color="auto" w:sz="4" w:space="0"/>
              <w:right w:val="single" w:color="auto" w:sz="4" w:space="0"/>
            </w:tcBorders>
          </w:tcPr>
          <w:p>
            <w:pPr>
              <w:rPr>
                <w:rFonts w:ascii="Times New Roman" w:hAnsi="Times New Roman"/>
                <w:szCs w:val="21"/>
              </w:rPr>
            </w:pPr>
            <w:r>
              <w:rPr>
                <w:rFonts w:hint="eastAsia" w:ascii="宋体" w:hAnsi="宋体"/>
                <w:color w:val="000000"/>
                <w:sz w:val="24"/>
              </w:rPr>
              <w:t>有依法缴纳税收和社会保障资金的良好记录：有依法缴纳税收和社会保障资金的良好记录。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3</w:t>
            </w:r>
          </w:p>
        </w:tc>
        <w:tc>
          <w:tcPr>
            <w:tcW w:w="7421" w:type="dxa"/>
            <w:tcBorders>
              <w:top w:val="single" w:color="auto" w:sz="4" w:space="0"/>
              <w:left w:val="nil"/>
              <w:bottom w:val="single" w:color="auto" w:sz="4" w:space="0"/>
              <w:right w:val="single" w:color="auto" w:sz="4" w:space="0"/>
            </w:tcBorders>
          </w:tcPr>
          <w:p>
            <w:pPr>
              <w:rPr>
                <w:rFonts w:ascii="Times New Roman" w:hAnsi="Times New Roman"/>
                <w:szCs w:val="21"/>
              </w:rPr>
            </w:pPr>
            <w:r>
              <w:rPr>
                <w:rFonts w:hint="eastAsia" w:ascii="宋体" w:hAnsi="宋体"/>
                <w:color w:val="000000"/>
                <w:sz w:val="24"/>
              </w:rPr>
              <w:t>具有良好的商业信誉和健全的财务会计制度：具有良好的商业信誉和健全的财务会计制度。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szCs w:val="21"/>
              </w:rPr>
            </w:pPr>
            <w:r>
              <w:rPr>
                <w:rFonts w:ascii="Times New Roman" w:hAnsi="Times New Roman"/>
                <w:szCs w:val="21"/>
              </w:rPr>
              <w:t>4</w:t>
            </w:r>
          </w:p>
        </w:tc>
        <w:tc>
          <w:tcPr>
            <w:tcW w:w="7421" w:type="dxa"/>
            <w:tcBorders>
              <w:top w:val="single" w:color="auto" w:sz="4" w:space="0"/>
              <w:left w:val="nil"/>
              <w:bottom w:val="single" w:color="auto" w:sz="4" w:space="0"/>
              <w:right w:val="single" w:color="auto" w:sz="4" w:space="0"/>
            </w:tcBorders>
          </w:tcPr>
          <w:p>
            <w:pPr>
              <w:spacing w:line="360" w:lineRule="auto"/>
              <w:rPr>
                <w:rFonts w:ascii="Times New Roman" w:hAnsi="Times New Roman"/>
                <w:szCs w:val="21"/>
              </w:rPr>
            </w:pPr>
            <w:r>
              <w:rPr>
                <w:rFonts w:hint="eastAsia" w:ascii="宋体" w:hAnsi="宋体"/>
                <w:color w:val="000000"/>
                <w:sz w:val="24"/>
              </w:rPr>
              <w:t>履行合同所必需的设备和专业技术能力：按</w:t>
            </w:r>
            <w:r>
              <w:rPr>
                <w:rFonts w:hint="eastAsia" w:ascii="宋体" w:hAnsi="宋体"/>
                <w:color w:val="000000"/>
                <w:sz w:val="24"/>
                <w:lang w:eastAsia="zh-CN"/>
              </w:rPr>
              <w:t>响应</w:t>
            </w:r>
            <w:r>
              <w:rPr>
                <w:rFonts w:hint="eastAsia" w:ascii="宋体" w:hAnsi="宋体"/>
                <w:color w:val="000000"/>
                <w:sz w:val="24"/>
              </w:rPr>
              <w:t>（响应）文件格式填报设备及专业技术能力情况。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cs="Calibri"/>
                <w:szCs w:val="21"/>
              </w:rPr>
            </w:pPr>
            <w:r>
              <w:rPr>
                <w:rFonts w:hint="eastAsia" w:ascii="Times New Roman" w:hAnsi="Times New Roman" w:cs="Calibri"/>
                <w:szCs w:val="21"/>
              </w:rPr>
              <w:t>5</w:t>
            </w:r>
          </w:p>
        </w:tc>
        <w:tc>
          <w:tcPr>
            <w:tcW w:w="7421" w:type="dxa"/>
            <w:tcBorders>
              <w:top w:val="single" w:color="auto" w:sz="4" w:space="0"/>
              <w:left w:val="nil"/>
              <w:bottom w:val="single" w:color="auto" w:sz="4" w:space="0"/>
              <w:right w:val="single" w:color="auto" w:sz="4" w:space="0"/>
            </w:tcBorders>
          </w:tcPr>
          <w:p>
            <w:pPr>
              <w:widowControl/>
              <w:spacing w:line="360" w:lineRule="auto"/>
              <w:jc w:val="left"/>
              <w:rPr>
                <w:rFonts w:ascii="宋体" w:hAnsi="宋体"/>
                <w:color w:val="000000"/>
                <w:sz w:val="24"/>
              </w:rPr>
            </w:pPr>
            <w:r>
              <w:rPr>
                <w:rFonts w:hint="eastAsia" w:ascii="宋体" w:hAnsi="宋体"/>
                <w:color w:val="000000"/>
                <w:sz w:val="24"/>
              </w:rPr>
              <w:t>参加采购活动前</w:t>
            </w:r>
            <w:r>
              <w:rPr>
                <w:rFonts w:ascii="宋体" w:hAnsi="宋体"/>
                <w:color w:val="000000"/>
                <w:sz w:val="24"/>
              </w:rPr>
              <w:t>3</w:t>
            </w:r>
            <w:r>
              <w:rPr>
                <w:rFonts w:hint="eastAsia" w:ascii="宋体" w:hAnsi="宋体"/>
                <w:color w:val="000000"/>
                <w:sz w:val="24"/>
              </w:rPr>
              <w:t>年内，在经营活动中没有重大违法记录：参照</w:t>
            </w:r>
            <w:r>
              <w:rPr>
                <w:rFonts w:hint="eastAsia" w:ascii="宋体" w:hAnsi="宋体"/>
                <w:color w:val="000000"/>
                <w:sz w:val="24"/>
                <w:lang w:eastAsia="zh-CN"/>
              </w:rPr>
              <w:t>响应</w:t>
            </w:r>
            <w:r>
              <w:rPr>
                <w:rFonts w:hint="eastAsia" w:ascii="宋体" w:hAnsi="宋体"/>
                <w:color w:val="000000"/>
                <w:sz w:val="24"/>
              </w:rPr>
              <w:t>（报价）函相关承诺格式内容。 重大违法记录，是指供应商因违法经营受到刑事处罚或者责令停产停业、吊销许可证或者执照、较大数额罚款等行政处罚。（根据财库〔</w:t>
            </w:r>
            <w:r>
              <w:rPr>
                <w:rFonts w:ascii="宋体" w:hAnsi="宋体"/>
                <w:color w:val="000000"/>
                <w:sz w:val="24"/>
              </w:rPr>
              <w:t>2022</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号文，</w:t>
            </w:r>
            <w:r>
              <w:rPr>
                <w:rFonts w:ascii="宋体" w:hAnsi="宋体"/>
                <w:color w:val="000000"/>
                <w:sz w:val="24"/>
              </w:rPr>
              <w:t>“</w:t>
            </w:r>
            <w:r>
              <w:rPr>
                <w:rFonts w:hint="eastAsia" w:ascii="宋体" w:hAnsi="宋体"/>
                <w:color w:val="000000"/>
                <w:sz w:val="24"/>
              </w:rPr>
              <w:t>较大数额罚款</w:t>
            </w:r>
            <w:r>
              <w:rPr>
                <w:rFonts w:ascii="宋体" w:hAnsi="宋体"/>
                <w:color w:val="000000"/>
                <w:sz w:val="24"/>
              </w:rPr>
              <w:t>”</w:t>
            </w:r>
            <w:r>
              <w:rPr>
                <w:rFonts w:hint="eastAsia" w:ascii="宋体" w:hAnsi="宋体"/>
                <w:color w:val="000000"/>
                <w:sz w:val="24"/>
              </w:rPr>
              <w:t>认定为</w:t>
            </w:r>
            <w:r>
              <w:rPr>
                <w:rFonts w:ascii="宋体" w:hAnsi="宋体"/>
                <w:color w:val="000000"/>
                <w:sz w:val="24"/>
              </w:rPr>
              <w:t>200</w:t>
            </w:r>
            <w:r>
              <w:rPr>
                <w:rFonts w:hint="eastAsia" w:ascii="宋体" w:hAnsi="宋体"/>
                <w:color w:val="000000"/>
                <w:sz w:val="24"/>
              </w:rPr>
              <w:t>万元以上的罚款，法律、行政法规以及国务院有关部门明确规定相关领域</w:t>
            </w:r>
            <w:r>
              <w:rPr>
                <w:rFonts w:ascii="宋体" w:hAnsi="宋体"/>
                <w:color w:val="000000"/>
                <w:sz w:val="24"/>
              </w:rPr>
              <w:t>“</w:t>
            </w:r>
            <w:r>
              <w:rPr>
                <w:rFonts w:hint="eastAsia" w:ascii="宋体" w:hAnsi="宋体"/>
                <w:color w:val="000000"/>
                <w:sz w:val="24"/>
              </w:rPr>
              <w:t>较大数额罚款</w:t>
            </w:r>
            <w:r>
              <w:rPr>
                <w:rFonts w:ascii="宋体" w:hAnsi="宋体"/>
                <w:color w:val="000000"/>
                <w:sz w:val="24"/>
              </w:rPr>
              <w:t>”</w:t>
            </w:r>
            <w:r>
              <w:rPr>
                <w:rFonts w:hint="eastAsia" w:ascii="宋体" w:hAnsi="宋体"/>
                <w:color w:val="000000"/>
                <w:sz w:val="24"/>
              </w:rPr>
              <w:t>标准高于</w:t>
            </w:r>
            <w:r>
              <w:rPr>
                <w:rFonts w:ascii="宋体" w:hAnsi="宋体"/>
                <w:color w:val="000000"/>
                <w:sz w:val="24"/>
              </w:rPr>
              <w:t>200</w:t>
            </w:r>
            <w:r>
              <w:rPr>
                <w:rFonts w:hint="eastAsia" w:ascii="宋体" w:hAnsi="宋体"/>
                <w:color w:val="000000"/>
                <w:sz w:val="24"/>
              </w:rPr>
              <w:t>万元的，从其规定）</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cs="Calibri"/>
                <w:szCs w:val="21"/>
              </w:rPr>
            </w:pPr>
            <w:r>
              <w:rPr>
                <w:rFonts w:hint="eastAsia" w:ascii="Times New Roman" w:hAnsi="Times New Roman" w:cs="Calibri"/>
                <w:szCs w:val="21"/>
              </w:rPr>
              <w:t>6</w:t>
            </w:r>
          </w:p>
        </w:tc>
        <w:tc>
          <w:tcPr>
            <w:tcW w:w="7421"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color w:val="000000"/>
                <w:sz w:val="24"/>
              </w:rPr>
              <w:t>供应商未被列入</w:t>
            </w:r>
            <w:r>
              <w:rPr>
                <w:rFonts w:ascii="宋体" w:hAnsi="宋体"/>
                <w:color w:val="000000"/>
                <w:sz w:val="24"/>
              </w:rPr>
              <w:t>“</w:t>
            </w:r>
            <w:r>
              <w:rPr>
                <w:rFonts w:hint="eastAsia" w:ascii="宋体" w:hAnsi="宋体"/>
                <w:color w:val="000000"/>
                <w:sz w:val="24"/>
              </w:rPr>
              <w:t>信用中国</w:t>
            </w:r>
            <w:r>
              <w:rPr>
                <w:rFonts w:ascii="宋体" w:hAnsi="宋体"/>
                <w:color w:val="000000"/>
                <w:sz w:val="24"/>
              </w:rPr>
              <w:t>”</w:t>
            </w:r>
            <w:r>
              <w:rPr>
                <w:rFonts w:hint="eastAsia" w:ascii="宋体" w:hAnsi="宋体"/>
                <w:color w:val="000000"/>
                <w:sz w:val="24"/>
              </w:rPr>
              <w:t>网站</w:t>
            </w:r>
            <w:r>
              <w:rPr>
                <w:rFonts w:ascii="宋体" w:hAnsi="宋体"/>
                <w:color w:val="000000"/>
                <w:sz w:val="24"/>
              </w:rPr>
              <w:t>(www.creditchina.gov.cn)“</w:t>
            </w:r>
            <w:r>
              <w:rPr>
                <w:rFonts w:hint="eastAsia" w:ascii="宋体" w:hAnsi="宋体"/>
                <w:color w:val="000000"/>
                <w:sz w:val="24"/>
              </w:rPr>
              <w:t>记录失信被执行人或重大税收违法案件当事人名单或政府采购严重违法失信行为</w:t>
            </w:r>
            <w:r>
              <w:rPr>
                <w:rFonts w:ascii="宋体" w:hAnsi="宋体"/>
                <w:color w:val="000000"/>
                <w:sz w:val="24"/>
              </w:rPr>
              <w:t>”</w:t>
            </w:r>
            <w:r>
              <w:rPr>
                <w:rFonts w:hint="eastAsia" w:ascii="宋体" w:hAnsi="宋体"/>
                <w:color w:val="000000"/>
                <w:sz w:val="24"/>
              </w:rPr>
              <w:t>记录名单；不处于中国政府采购网</w:t>
            </w:r>
            <w:r>
              <w:rPr>
                <w:rFonts w:ascii="宋体" w:hAnsi="宋体"/>
                <w:color w:val="000000"/>
                <w:sz w:val="24"/>
              </w:rPr>
              <w:t>(www.ccgp.gov.cn)“</w:t>
            </w:r>
            <w:r>
              <w:rPr>
                <w:rFonts w:hint="eastAsia" w:ascii="宋体" w:hAnsi="宋体"/>
                <w:color w:val="000000"/>
                <w:sz w:val="24"/>
              </w:rPr>
              <w:t>政府采购严重违法失信行为信息记录</w:t>
            </w:r>
            <w:r>
              <w:rPr>
                <w:rFonts w:ascii="宋体" w:hAnsi="宋体"/>
                <w:color w:val="000000"/>
                <w:sz w:val="24"/>
              </w:rPr>
              <w:t>”</w:t>
            </w:r>
            <w:r>
              <w:rPr>
                <w:rFonts w:hint="eastAsia" w:ascii="宋体" w:hAnsi="宋体"/>
                <w:color w:val="000000"/>
                <w:sz w:val="24"/>
              </w:rPr>
              <w:t>中的禁止参加政府采购活动期间</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cs="Calibri"/>
                <w:szCs w:val="21"/>
              </w:rPr>
            </w:pPr>
            <w:r>
              <w:rPr>
                <w:rFonts w:hint="eastAsia" w:ascii="Times New Roman" w:hAnsi="Times New Roman" w:cs="Calibri"/>
                <w:szCs w:val="21"/>
              </w:rPr>
              <w:t>7</w:t>
            </w:r>
          </w:p>
        </w:tc>
        <w:tc>
          <w:tcPr>
            <w:tcW w:w="7421"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color w:val="000000"/>
                <w:sz w:val="24"/>
              </w:rPr>
              <w:t>供应商必须符合法律、行政法规规定的其他条件。</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ascii="Times New Roman" w:hAnsi="Times New Roman" w:cs="Calibri"/>
                <w:szCs w:val="21"/>
              </w:rPr>
            </w:pPr>
            <w:r>
              <w:rPr>
                <w:rFonts w:hint="eastAsia" w:ascii="Times New Roman" w:hAnsi="Times New Roman" w:cs="Calibri"/>
                <w:szCs w:val="21"/>
              </w:rPr>
              <w:t>8</w:t>
            </w:r>
          </w:p>
        </w:tc>
        <w:tc>
          <w:tcPr>
            <w:tcW w:w="7421"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color w:val="000000"/>
                <w:sz w:val="24"/>
              </w:rPr>
              <w:t>单位负责人为同一人或者存在直接控股、管理关系的不同供应商，不得参加同一项目</w:t>
            </w:r>
            <w:r>
              <w:rPr>
                <w:rFonts w:hint="eastAsia" w:ascii="宋体" w:hAnsi="宋体"/>
                <w:color w:val="000000"/>
                <w:sz w:val="24"/>
                <w:lang w:eastAsia="zh-CN"/>
              </w:rPr>
              <w:t>响应</w:t>
            </w:r>
            <w:r>
              <w:rPr>
                <w:rFonts w:hint="eastAsia" w:ascii="宋体" w:hAnsi="宋体"/>
                <w:color w:val="000000"/>
                <w:sz w:val="24"/>
              </w:rPr>
              <w:t xml:space="preserve">。 </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Calibri" w:eastAsiaTheme="minorEastAsia"/>
                <w:szCs w:val="21"/>
                <w:lang w:val="en-US" w:eastAsia="zh-CN"/>
              </w:rPr>
            </w:pPr>
            <w:r>
              <w:rPr>
                <w:rFonts w:hint="eastAsia" w:ascii="Times New Roman" w:hAnsi="Times New Roman" w:cs="Calibri"/>
                <w:szCs w:val="21"/>
                <w:lang w:val="en-US" w:eastAsia="zh-CN"/>
              </w:rPr>
              <w:t>9</w:t>
            </w:r>
          </w:p>
        </w:tc>
        <w:tc>
          <w:tcPr>
            <w:tcW w:w="7421" w:type="dxa"/>
            <w:tcBorders>
              <w:top w:val="single" w:color="auto" w:sz="4" w:space="0"/>
              <w:left w:val="nil"/>
              <w:bottom w:val="single" w:color="auto" w:sz="4" w:space="0"/>
              <w:right w:val="single" w:color="auto" w:sz="4" w:space="0"/>
            </w:tcBorders>
          </w:tcPr>
          <w:p>
            <w:pPr>
              <w:rPr>
                <w:rFonts w:ascii="宋体" w:hAnsi="宋体"/>
                <w:color w:val="000000"/>
                <w:sz w:val="24"/>
              </w:rPr>
            </w:pPr>
            <w:r>
              <w:rPr>
                <w:rFonts w:hint="eastAsia" w:ascii="宋体" w:hAnsi="宋体"/>
                <w:sz w:val="24"/>
              </w:rPr>
              <w:t>已领取本次遴选文件。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cs="Calibri" w:eastAsiaTheme="minorEastAsia"/>
                <w:szCs w:val="21"/>
                <w:lang w:val="en-US" w:eastAsia="zh-CN"/>
              </w:rPr>
            </w:pPr>
            <w:r>
              <w:rPr>
                <w:rFonts w:hint="eastAsia" w:ascii="Times New Roman" w:hAnsi="Times New Roman" w:cs="Calibri"/>
                <w:szCs w:val="21"/>
              </w:rPr>
              <w:t>1</w:t>
            </w:r>
            <w:r>
              <w:rPr>
                <w:rFonts w:hint="eastAsia" w:ascii="Times New Roman" w:hAnsi="Times New Roman" w:cs="Calibri"/>
                <w:szCs w:val="21"/>
                <w:lang w:val="en-US" w:eastAsia="zh-CN"/>
              </w:rPr>
              <w:t>0</w:t>
            </w:r>
          </w:p>
        </w:tc>
        <w:tc>
          <w:tcPr>
            <w:tcW w:w="7421" w:type="dxa"/>
            <w:tcBorders>
              <w:top w:val="single" w:color="auto" w:sz="4" w:space="0"/>
              <w:left w:val="nil"/>
              <w:bottom w:val="single" w:color="auto" w:sz="4" w:space="0"/>
              <w:right w:val="single" w:color="auto" w:sz="4" w:space="0"/>
            </w:tcBorders>
          </w:tcPr>
          <w:p>
            <w:pPr>
              <w:rPr>
                <w:rFonts w:ascii="宋体" w:hAnsi="宋体"/>
                <w:sz w:val="24"/>
              </w:rPr>
            </w:pPr>
            <w:r>
              <w:rPr>
                <w:rFonts w:hint="eastAsia" w:ascii="宋体" w:hAnsi="宋体"/>
                <w:color w:val="000000"/>
                <w:sz w:val="24"/>
              </w:rPr>
              <w:t>本项目不接受联合体</w:t>
            </w:r>
            <w:r>
              <w:rPr>
                <w:rFonts w:hint="eastAsia" w:ascii="宋体" w:hAnsi="宋体"/>
                <w:color w:val="000000"/>
                <w:sz w:val="24"/>
                <w:lang w:eastAsia="zh-CN"/>
              </w:rPr>
              <w:t>响应</w:t>
            </w:r>
            <w:r>
              <w:rPr>
                <w:rFonts w:hint="eastAsia" w:ascii="宋体" w:hAnsi="宋体"/>
                <w:color w:val="000000"/>
                <w:sz w:val="24"/>
              </w:rPr>
              <w:t xml:space="preserve">，不允许分包、转包： </w:t>
            </w:r>
            <w:r>
              <w:rPr>
                <w:rFonts w:ascii="宋体" w:hAnsi="宋体"/>
                <w:color w:val="000000"/>
                <w:sz w:val="24"/>
              </w:rPr>
              <w:t>(</w:t>
            </w:r>
            <w:r>
              <w:rPr>
                <w:rFonts w:hint="eastAsia" w:ascii="宋体" w:hAnsi="宋体"/>
                <w:color w:val="000000"/>
                <w:sz w:val="24"/>
              </w:rPr>
              <w:t>供应商出具声明函</w:t>
            </w:r>
            <w:r>
              <w:rPr>
                <w:rFonts w:ascii="宋体" w:hAnsi="宋体"/>
                <w:color w:val="000000"/>
                <w:sz w:val="24"/>
              </w:rPr>
              <w:t>)</w:t>
            </w:r>
          </w:p>
        </w:tc>
      </w:tr>
    </w:tbl>
    <w:p>
      <w:pPr>
        <w:spacing w:line="360" w:lineRule="auto"/>
        <w:rPr>
          <w:rFonts w:ascii="Times New Roman" w:hAnsi="Times New Roman"/>
          <w:sz w:val="24"/>
        </w:rPr>
      </w:pPr>
    </w:p>
    <w:p>
      <w:pPr>
        <w:widowControl/>
        <w:ind w:right="481" w:rightChars="229"/>
        <w:jc w:val="center"/>
        <w:rPr>
          <w:rFonts w:ascii="宋体" w:hAnsi="宋体"/>
          <w:b/>
          <w:color w:val="FF0000"/>
          <w:kern w:val="0"/>
          <w:sz w:val="24"/>
        </w:rPr>
      </w:pPr>
      <w:r>
        <w:rPr>
          <w:rFonts w:hint="eastAsia" w:ascii="宋体" w:hAnsi="宋体"/>
          <w:b/>
          <w:color w:val="FF0000"/>
          <w:kern w:val="0"/>
          <w:sz w:val="24"/>
        </w:rPr>
        <w:t xml:space="preserve"> </w:t>
      </w:r>
    </w:p>
    <w:p>
      <w:pPr>
        <w:spacing w:before="100" w:beforeAutospacing="1"/>
        <w:rPr>
          <w:rFonts w:ascii="宋体" w:hAnsi="宋体"/>
          <w:b/>
          <w:bCs/>
          <w:kern w:val="44"/>
          <w:sz w:val="24"/>
        </w:rPr>
      </w:pPr>
      <w:r>
        <w:rPr>
          <w:rFonts w:hint="eastAsia" w:ascii="宋体" w:hAnsi="宋体"/>
          <w:b/>
          <w:bCs/>
          <w:kern w:val="44"/>
          <w:sz w:val="24"/>
        </w:rPr>
        <w:t>（</w:t>
      </w:r>
      <w:r>
        <w:rPr>
          <w:rFonts w:hint="eastAsia" w:ascii="宋体" w:hAnsi="宋体"/>
          <w:b/>
          <w:bCs/>
          <w:kern w:val="44"/>
          <w:sz w:val="24"/>
          <w:lang w:eastAsia="zh-CN"/>
        </w:rPr>
        <w:t>二</w:t>
      </w:r>
      <w:r>
        <w:rPr>
          <w:rFonts w:hint="eastAsia" w:ascii="宋体" w:hAnsi="宋体"/>
          <w:b/>
          <w:bCs/>
          <w:kern w:val="44"/>
          <w:sz w:val="24"/>
        </w:rPr>
        <w:t>）、供应商基本情况说明</w:t>
      </w:r>
    </w:p>
    <w:p>
      <w:pPr>
        <w:spacing w:line="360" w:lineRule="auto"/>
        <w:rPr>
          <w:rFonts w:ascii="宋体" w:hAnsi="宋体" w:cs="Arial"/>
          <w:b/>
          <w:bCs w:val="0"/>
          <w:szCs w:val="21"/>
        </w:rPr>
      </w:pPr>
      <w:r>
        <w:rPr>
          <w:rFonts w:hint="eastAsia" w:ascii="宋体" w:hAnsi="宋体" w:cs="Arial"/>
          <w:b/>
          <w:bCs w:val="0"/>
          <w:szCs w:val="21"/>
        </w:rPr>
        <w:t>1、公司基本情况</w:t>
      </w:r>
    </w:p>
    <w:p>
      <w:pPr>
        <w:numPr>
          <w:ilvl w:val="0"/>
          <w:numId w:val="4"/>
        </w:numPr>
        <w:spacing w:line="360" w:lineRule="auto"/>
        <w:ind w:left="425" w:leftChars="0" w:hanging="425" w:firstLineChars="0"/>
        <w:rPr>
          <w:rFonts w:ascii="宋体" w:hAnsi="宋体" w:cs="Arial"/>
          <w:szCs w:val="21"/>
        </w:rPr>
      </w:pPr>
      <w:r>
        <w:rPr>
          <w:rFonts w:hint="eastAsia" w:ascii="宋体" w:hAnsi="宋体" w:cs="Arial"/>
          <w:szCs w:val="21"/>
        </w:rPr>
        <w:t>公司名称：                          电话号码：</w:t>
      </w:r>
    </w:p>
    <w:p>
      <w:pPr>
        <w:numPr>
          <w:ilvl w:val="0"/>
          <w:numId w:val="4"/>
        </w:numPr>
        <w:spacing w:line="360" w:lineRule="auto"/>
        <w:ind w:left="425" w:leftChars="0" w:hanging="425" w:firstLineChars="0"/>
        <w:rPr>
          <w:rFonts w:ascii="宋体" w:hAnsi="宋体" w:cs="Arial"/>
          <w:szCs w:val="21"/>
        </w:rPr>
      </w:pPr>
      <w:r>
        <w:rPr>
          <w:rFonts w:hint="eastAsia" w:ascii="宋体" w:hAnsi="宋体" w:cs="Arial"/>
          <w:szCs w:val="21"/>
        </w:rPr>
        <w:t>地    址：                          传    真：</w:t>
      </w:r>
    </w:p>
    <w:p>
      <w:pPr>
        <w:numPr>
          <w:ilvl w:val="0"/>
          <w:numId w:val="4"/>
        </w:numPr>
        <w:spacing w:line="360" w:lineRule="auto"/>
        <w:ind w:left="425" w:leftChars="0" w:hanging="425" w:firstLineChars="0"/>
        <w:rPr>
          <w:rFonts w:ascii="宋体" w:hAnsi="宋体" w:cs="Arial"/>
          <w:szCs w:val="21"/>
          <w:u w:val="single"/>
        </w:rPr>
      </w:pPr>
      <w:r>
        <w:rPr>
          <w:rFonts w:hint="eastAsia" w:ascii="宋体" w:hAnsi="宋体" w:cs="Arial"/>
          <w:szCs w:val="21"/>
        </w:rPr>
        <w:t>注册资金：                          经济性质：</w:t>
      </w:r>
    </w:p>
    <w:p>
      <w:pPr>
        <w:numPr>
          <w:ilvl w:val="0"/>
          <w:numId w:val="4"/>
        </w:numPr>
        <w:spacing w:line="360" w:lineRule="auto"/>
        <w:ind w:left="425" w:leftChars="0" w:hanging="425" w:firstLineChars="0"/>
        <w:rPr>
          <w:rFonts w:ascii="宋体" w:hAnsi="宋体" w:cs="Arial"/>
          <w:szCs w:val="21"/>
        </w:rPr>
      </w:pPr>
      <w:r>
        <w:rPr>
          <w:rFonts w:hint="eastAsia" w:ascii="宋体" w:hAnsi="宋体" w:cs="Arial"/>
          <w:szCs w:val="21"/>
        </w:rPr>
        <w:t>公司开户银行名称及账号：</w:t>
      </w:r>
    </w:p>
    <w:p>
      <w:pPr>
        <w:numPr>
          <w:ilvl w:val="0"/>
          <w:numId w:val="4"/>
        </w:numPr>
        <w:spacing w:line="360" w:lineRule="auto"/>
        <w:ind w:left="425" w:leftChars="0" w:hanging="425" w:firstLineChars="0"/>
        <w:rPr>
          <w:rFonts w:ascii="宋体" w:hAnsi="宋体" w:cs="Arial"/>
          <w:szCs w:val="21"/>
        </w:rPr>
      </w:pPr>
      <w:r>
        <w:rPr>
          <w:rFonts w:hint="eastAsia" w:ascii="宋体" w:hAnsi="宋体" w:cs="Arial"/>
          <w:szCs w:val="21"/>
        </w:rPr>
        <w:t>营业注册执照号（</w:t>
      </w:r>
      <w:r>
        <w:rPr>
          <w:rFonts w:hint="eastAsia" w:ascii="宋体" w:hAnsi="宋体" w:cs="Arial"/>
          <w:kern w:val="0"/>
          <w:szCs w:val="21"/>
        </w:rPr>
        <w:t>统一社会信息用代码）</w:t>
      </w:r>
      <w:r>
        <w:rPr>
          <w:rFonts w:hint="eastAsia" w:ascii="宋体" w:hAnsi="宋体" w:cs="Arial"/>
          <w:szCs w:val="21"/>
        </w:rPr>
        <w:t>：</w:t>
      </w:r>
    </w:p>
    <w:p>
      <w:pPr>
        <w:numPr>
          <w:ilvl w:val="0"/>
          <w:numId w:val="4"/>
        </w:numPr>
        <w:spacing w:line="360" w:lineRule="auto"/>
        <w:ind w:left="425" w:leftChars="0" w:hanging="425" w:firstLineChars="0"/>
        <w:rPr>
          <w:rFonts w:ascii="宋体" w:hAnsi="宋体" w:cs="Arial"/>
          <w:szCs w:val="21"/>
        </w:rPr>
      </w:pPr>
      <w:r>
        <w:rPr>
          <w:rFonts w:hint="eastAsia" w:ascii="宋体" w:hAnsi="宋体" w:cs="Arial"/>
          <w:szCs w:val="21"/>
        </w:rPr>
        <w:t>公司简介</w:t>
      </w:r>
    </w:p>
    <w:p>
      <w:pPr>
        <w:spacing w:line="360" w:lineRule="auto"/>
        <w:ind w:left="359" w:leftChars="171" w:firstLine="315" w:firstLineChars="150"/>
        <w:rPr>
          <w:rFonts w:ascii="宋体" w:hAnsi="宋体"/>
          <w:szCs w:val="21"/>
        </w:rPr>
      </w:pPr>
      <w:r>
        <w:rPr>
          <w:rFonts w:hint="eastAsia" w:ascii="宋体" w:hAnsi="宋体"/>
          <w:szCs w:val="21"/>
        </w:rPr>
        <w:t>文字描述：</w:t>
      </w:r>
      <w:r>
        <w:rPr>
          <w:rFonts w:hint="eastAsia" w:ascii="宋体" w:hAnsi="宋体"/>
          <w:bCs/>
          <w:szCs w:val="21"/>
        </w:rPr>
        <w:t>发展历程、经营规模及服务理念</w:t>
      </w:r>
      <w:r>
        <w:rPr>
          <w:rFonts w:hint="eastAsia" w:ascii="宋体" w:hAnsi="宋体"/>
          <w:szCs w:val="21"/>
        </w:rPr>
        <w:t>、技术力量、财务状况、管理水平等方面进行阐述。</w:t>
      </w:r>
    </w:p>
    <w:p>
      <w:pPr>
        <w:spacing w:line="360" w:lineRule="auto"/>
        <w:ind w:left="359" w:leftChars="171" w:firstLine="315" w:firstLineChars="150"/>
        <w:rPr>
          <w:rFonts w:ascii="宋体" w:hAnsi="宋体"/>
          <w:bCs/>
          <w:szCs w:val="21"/>
        </w:rPr>
      </w:pPr>
      <w:r>
        <w:rPr>
          <w:rFonts w:hint="eastAsia" w:ascii="宋体" w:hAnsi="宋体"/>
          <w:szCs w:val="21"/>
        </w:rPr>
        <w:t>图片描述：</w:t>
      </w:r>
      <w:r>
        <w:rPr>
          <w:rFonts w:hint="eastAsia" w:ascii="宋体" w:hAnsi="宋体"/>
          <w:bCs/>
          <w:szCs w:val="21"/>
        </w:rPr>
        <w:t>经营场所及服务流程等。</w:t>
      </w:r>
    </w:p>
    <w:p>
      <w:pPr>
        <w:spacing w:beforeLines="50" w:line="360" w:lineRule="auto"/>
        <w:rPr>
          <w:rFonts w:ascii="宋体" w:hAnsi="宋体"/>
          <w:b/>
          <w:bCs w:val="0"/>
          <w:szCs w:val="21"/>
        </w:rPr>
      </w:pPr>
      <w:r>
        <w:rPr>
          <w:rFonts w:hint="eastAsia" w:ascii="宋体" w:hAnsi="宋体"/>
          <w:b/>
          <w:bCs w:val="0"/>
          <w:szCs w:val="21"/>
        </w:rPr>
        <w:t>2、主要股东或出资人信息</w:t>
      </w:r>
    </w:p>
    <w:tbl>
      <w:tblPr>
        <w:tblStyle w:val="2"/>
        <w:tblW w:w="94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538"/>
        <w:gridCol w:w="2208"/>
        <w:gridCol w:w="2030"/>
        <w:gridCol w:w="1492"/>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02" w:type="dxa"/>
            <w:tcBorders>
              <w:top w:val="single" w:color="auto" w:sz="12" w:space="0"/>
              <w:left w:val="single" w:color="auto" w:sz="12" w:space="0"/>
              <w:bottom w:val="single" w:color="auto" w:sz="4" w:space="0"/>
              <w:right w:val="single" w:color="auto" w:sz="4" w:space="0"/>
            </w:tcBorders>
            <w:vAlign w:val="center"/>
          </w:tcPr>
          <w:p>
            <w:pPr>
              <w:adjustRightInd w:val="0"/>
              <w:snapToGrid w:val="0"/>
              <w:jc w:val="center"/>
              <w:rPr>
                <w:rFonts w:ascii="宋体" w:hAnsi="宋体" w:cs="Arial"/>
                <w:b/>
                <w:szCs w:val="21"/>
              </w:rPr>
            </w:pPr>
            <w:r>
              <w:rPr>
                <w:rFonts w:hint="eastAsia" w:ascii="宋体" w:hAnsi="宋体" w:cs="Arial"/>
                <w:b/>
                <w:szCs w:val="21"/>
              </w:rPr>
              <w:t>序号</w:t>
            </w:r>
          </w:p>
        </w:tc>
        <w:tc>
          <w:tcPr>
            <w:tcW w:w="1537" w:type="dxa"/>
            <w:tcBorders>
              <w:top w:val="single" w:color="auto" w:sz="12" w:space="0"/>
              <w:left w:val="nil"/>
              <w:bottom w:val="single" w:color="auto" w:sz="4" w:space="0"/>
              <w:right w:val="single" w:color="auto" w:sz="4" w:space="0"/>
            </w:tcBorders>
            <w:vAlign w:val="center"/>
          </w:tcPr>
          <w:p>
            <w:pPr>
              <w:adjustRightInd w:val="0"/>
              <w:snapToGrid w:val="0"/>
              <w:jc w:val="center"/>
              <w:rPr>
                <w:rFonts w:ascii="宋体" w:hAnsi="宋体" w:cs="Arial"/>
                <w:b/>
                <w:szCs w:val="21"/>
              </w:rPr>
            </w:pPr>
            <w:r>
              <w:rPr>
                <w:rFonts w:hint="eastAsia" w:ascii="宋体" w:hAnsi="宋体" w:cs="Arial"/>
                <w:b/>
                <w:szCs w:val="21"/>
              </w:rPr>
              <w:t>名称</w:t>
            </w:r>
          </w:p>
          <w:p>
            <w:pPr>
              <w:adjustRightInd w:val="0"/>
              <w:snapToGrid w:val="0"/>
              <w:jc w:val="center"/>
              <w:rPr>
                <w:rFonts w:ascii="宋体" w:hAnsi="宋体" w:cs="Arial"/>
                <w:b/>
                <w:szCs w:val="21"/>
              </w:rPr>
            </w:pPr>
            <w:r>
              <w:rPr>
                <w:rFonts w:hint="eastAsia" w:ascii="宋体" w:hAnsi="宋体" w:cs="Arial"/>
                <w:b/>
                <w:szCs w:val="21"/>
              </w:rPr>
              <w:t>（姓名）</w:t>
            </w:r>
          </w:p>
        </w:tc>
        <w:tc>
          <w:tcPr>
            <w:tcW w:w="2208" w:type="dxa"/>
            <w:tcBorders>
              <w:top w:val="single" w:color="auto" w:sz="12" w:space="0"/>
              <w:left w:val="nil"/>
              <w:bottom w:val="single" w:color="auto" w:sz="4" w:space="0"/>
              <w:right w:val="single" w:color="auto" w:sz="6" w:space="0"/>
            </w:tcBorders>
            <w:vAlign w:val="center"/>
          </w:tcPr>
          <w:p>
            <w:pPr>
              <w:adjustRightInd w:val="0"/>
              <w:snapToGrid w:val="0"/>
              <w:jc w:val="center"/>
              <w:rPr>
                <w:rFonts w:ascii="宋体" w:hAnsi="宋体" w:cs="Arial"/>
                <w:b/>
                <w:szCs w:val="21"/>
              </w:rPr>
            </w:pPr>
            <w:r>
              <w:rPr>
                <w:rFonts w:hint="eastAsia" w:ascii="宋体" w:hAnsi="宋体" w:cs="Arial"/>
                <w:b/>
                <w:kern w:val="0"/>
                <w:szCs w:val="21"/>
              </w:rPr>
              <w:t>统一社会信息用代码（身份证号）</w:t>
            </w:r>
          </w:p>
        </w:tc>
        <w:tc>
          <w:tcPr>
            <w:tcW w:w="2030" w:type="dxa"/>
            <w:tcBorders>
              <w:top w:val="single" w:color="auto" w:sz="12" w:space="0"/>
              <w:left w:val="nil"/>
              <w:bottom w:val="single" w:color="auto" w:sz="4" w:space="0"/>
              <w:right w:val="single" w:color="auto" w:sz="4" w:space="0"/>
            </w:tcBorders>
            <w:vAlign w:val="center"/>
          </w:tcPr>
          <w:p>
            <w:pPr>
              <w:adjustRightInd w:val="0"/>
              <w:snapToGrid w:val="0"/>
              <w:jc w:val="center"/>
              <w:rPr>
                <w:rFonts w:ascii="宋体" w:hAnsi="宋体" w:cs="Arial"/>
                <w:b/>
                <w:szCs w:val="21"/>
              </w:rPr>
            </w:pPr>
            <w:r>
              <w:rPr>
                <w:rFonts w:hint="eastAsia" w:ascii="宋体" w:hAnsi="宋体" w:cs="Arial"/>
                <w:b/>
                <w:szCs w:val="21"/>
              </w:rPr>
              <w:t>出资额</w:t>
            </w:r>
          </w:p>
          <w:p>
            <w:pPr>
              <w:adjustRightInd w:val="0"/>
              <w:snapToGrid w:val="0"/>
              <w:jc w:val="center"/>
              <w:rPr>
                <w:rFonts w:ascii="宋体" w:hAnsi="宋体" w:cs="Arial"/>
                <w:b/>
                <w:kern w:val="0"/>
                <w:szCs w:val="21"/>
              </w:rPr>
            </w:pPr>
            <w:r>
              <w:rPr>
                <w:rFonts w:hint="eastAsia" w:ascii="宋体" w:hAnsi="宋体" w:cs="Arial"/>
                <w:b/>
                <w:szCs w:val="21"/>
              </w:rPr>
              <w:t>（人民币 万元）</w:t>
            </w:r>
          </w:p>
        </w:tc>
        <w:tc>
          <w:tcPr>
            <w:tcW w:w="1492" w:type="dxa"/>
            <w:tcBorders>
              <w:top w:val="single" w:color="auto" w:sz="12" w:space="0"/>
              <w:left w:val="nil"/>
              <w:bottom w:val="single" w:color="auto" w:sz="4" w:space="0"/>
              <w:right w:val="single" w:color="auto" w:sz="4" w:space="0"/>
            </w:tcBorders>
            <w:vAlign w:val="center"/>
          </w:tcPr>
          <w:p>
            <w:pPr>
              <w:adjustRightInd w:val="0"/>
              <w:snapToGrid w:val="0"/>
              <w:jc w:val="center"/>
              <w:rPr>
                <w:rFonts w:ascii="宋体" w:hAnsi="宋体" w:cs="Arial"/>
                <w:b/>
                <w:szCs w:val="21"/>
              </w:rPr>
            </w:pPr>
            <w:r>
              <w:rPr>
                <w:rFonts w:hint="eastAsia" w:ascii="宋体" w:hAnsi="宋体" w:cs="Arial"/>
                <w:b/>
                <w:szCs w:val="21"/>
              </w:rPr>
              <w:t>出资方式</w:t>
            </w:r>
          </w:p>
        </w:tc>
        <w:tc>
          <w:tcPr>
            <w:tcW w:w="1234" w:type="dxa"/>
            <w:tcBorders>
              <w:top w:val="single" w:color="auto" w:sz="12" w:space="0"/>
              <w:left w:val="single" w:color="auto" w:sz="6" w:space="0"/>
              <w:bottom w:val="single" w:color="auto" w:sz="4" w:space="0"/>
              <w:right w:val="single" w:color="auto" w:sz="12" w:space="0"/>
            </w:tcBorders>
            <w:vAlign w:val="center"/>
          </w:tcPr>
          <w:p>
            <w:pPr>
              <w:adjustRightInd w:val="0"/>
              <w:snapToGrid w:val="0"/>
              <w:jc w:val="center"/>
              <w:rPr>
                <w:rFonts w:ascii="宋体" w:hAnsi="宋体" w:cs="Arial"/>
                <w:b/>
                <w:kern w:val="0"/>
                <w:szCs w:val="21"/>
              </w:rPr>
            </w:pPr>
            <w:r>
              <w:rPr>
                <w:rFonts w:hint="eastAsia" w:ascii="宋体" w:hAnsi="宋体" w:cs="Arial"/>
                <w:b/>
                <w:kern w:val="0"/>
                <w:szCs w:val="21"/>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Arial"/>
                <w:kern w:val="0"/>
                <w:sz w:val="20"/>
                <w:szCs w:val="20"/>
              </w:rPr>
            </w:pPr>
            <w:r>
              <w:rPr>
                <w:rFonts w:hint="eastAsia" w:ascii="宋体" w:hAnsi="宋体" w:cs="Arial"/>
                <w:kern w:val="0"/>
                <w:sz w:val="20"/>
                <w:szCs w:val="20"/>
              </w:rPr>
              <w:t>1</w:t>
            </w:r>
          </w:p>
        </w:tc>
        <w:tc>
          <w:tcPr>
            <w:tcW w:w="1537"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2208" w:type="dxa"/>
            <w:tcBorders>
              <w:top w:val="single" w:color="auto" w:sz="4" w:space="0"/>
              <w:left w:val="nil"/>
              <w:bottom w:val="single" w:color="auto" w:sz="4" w:space="0"/>
              <w:right w:val="single" w:color="auto" w:sz="6" w:space="0"/>
            </w:tcBorders>
          </w:tcPr>
          <w:p>
            <w:pPr>
              <w:jc w:val="center"/>
              <w:rPr>
                <w:rFonts w:ascii="宋体" w:hAnsi="宋体" w:cs="Arial"/>
                <w:kern w:val="0"/>
                <w:sz w:val="20"/>
                <w:szCs w:val="20"/>
              </w:rPr>
            </w:pPr>
          </w:p>
        </w:tc>
        <w:tc>
          <w:tcPr>
            <w:tcW w:w="2030"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1492"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1234" w:type="dxa"/>
            <w:tcBorders>
              <w:top w:val="single" w:color="auto" w:sz="4" w:space="0"/>
              <w:left w:val="single" w:color="auto" w:sz="6" w:space="0"/>
              <w:bottom w:val="single" w:color="auto" w:sz="4" w:space="0"/>
              <w:right w:val="single" w:color="auto" w:sz="12" w:space="0"/>
            </w:tcBorders>
          </w:tcPr>
          <w:p>
            <w:pPr>
              <w:jc w:val="center"/>
              <w:rPr>
                <w:rFonts w:ascii="宋体" w:hAnsi="宋体" w:cs="Arial"/>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2"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Arial"/>
                <w:kern w:val="0"/>
                <w:sz w:val="20"/>
                <w:szCs w:val="20"/>
              </w:rPr>
            </w:pPr>
            <w:r>
              <w:rPr>
                <w:rFonts w:hint="eastAsia" w:ascii="宋体" w:hAnsi="宋体" w:cs="Arial"/>
                <w:kern w:val="0"/>
                <w:sz w:val="20"/>
                <w:szCs w:val="20"/>
              </w:rPr>
              <w:t>2</w:t>
            </w:r>
          </w:p>
        </w:tc>
        <w:tc>
          <w:tcPr>
            <w:tcW w:w="1537"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2208" w:type="dxa"/>
            <w:tcBorders>
              <w:top w:val="single" w:color="auto" w:sz="4" w:space="0"/>
              <w:left w:val="nil"/>
              <w:bottom w:val="single" w:color="auto" w:sz="4" w:space="0"/>
              <w:right w:val="single" w:color="auto" w:sz="6" w:space="0"/>
            </w:tcBorders>
          </w:tcPr>
          <w:p>
            <w:pPr>
              <w:jc w:val="center"/>
              <w:rPr>
                <w:rFonts w:ascii="宋体" w:hAnsi="宋体" w:cs="Arial"/>
                <w:kern w:val="0"/>
                <w:sz w:val="20"/>
                <w:szCs w:val="20"/>
              </w:rPr>
            </w:pPr>
          </w:p>
        </w:tc>
        <w:tc>
          <w:tcPr>
            <w:tcW w:w="2030"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1492" w:type="dxa"/>
            <w:tcBorders>
              <w:top w:val="single" w:color="auto" w:sz="4" w:space="0"/>
              <w:left w:val="nil"/>
              <w:bottom w:val="single" w:color="auto" w:sz="4" w:space="0"/>
              <w:right w:val="single" w:color="auto" w:sz="4" w:space="0"/>
            </w:tcBorders>
          </w:tcPr>
          <w:p>
            <w:pPr>
              <w:jc w:val="center"/>
              <w:rPr>
                <w:rFonts w:ascii="宋体" w:hAnsi="宋体" w:cs="Arial"/>
                <w:kern w:val="0"/>
                <w:sz w:val="20"/>
                <w:szCs w:val="20"/>
              </w:rPr>
            </w:pPr>
          </w:p>
        </w:tc>
        <w:tc>
          <w:tcPr>
            <w:tcW w:w="1234" w:type="dxa"/>
            <w:tcBorders>
              <w:top w:val="single" w:color="auto" w:sz="4" w:space="0"/>
              <w:left w:val="single" w:color="auto" w:sz="6" w:space="0"/>
              <w:bottom w:val="single" w:color="auto" w:sz="4" w:space="0"/>
              <w:right w:val="single" w:color="auto" w:sz="12" w:space="0"/>
            </w:tcBorders>
          </w:tcPr>
          <w:p>
            <w:pPr>
              <w:jc w:val="center"/>
              <w:rPr>
                <w:rFonts w:ascii="宋体" w:hAnsi="宋体" w:cs="Arial"/>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02"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cs="Arial"/>
                <w:kern w:val="0"/>
                <w:sz w:val="20"/>
                <w:szCs w:val="20"/>
              </w:rPr>
            </w:pPr>
            <w:r>
              <w:rPr>
                <w:rFonts w:hint="eastAsia" w:ascii="宋体" w:hAnsi="宋体" w:cs="Arial"/>
                <w:kern w:val="0"/>
                <w:sz w:val="20"/>
                <w:szCs w:val="20"/>
              </w:rPr>
              <w:t>…</w:t>
            </w:r>
          </w:p>
        </w:tc>
        <w:tc>
          <w:tcPr>
            <w:tcW w:w="1537" w:type="dxa"/>
            <w:tcBorders>
              <w:top w:val="single" w:color="auto" w:sz="4" w:space="0"/>
              <w:left w:val="nil"/>
              <w:bottom w:val="single" w:color="auto" w:sz="12" w:space="0"/>
              <w:right w:val="single" w:color="auto" w:sz="4" w:space="0"/>
            </w:tcBorders>
          </w:tcPr>
          <w:p>
            <w:pPr>
              <w:jc w:val="center"/>
              <w:rPr>
                <w:rFonts w:ascii="宋体" w:hAnsi="宋体" w:cs="Arial"/>
                <w:kern w:val="0"/>
                <w:sz w:val="20"/>
                <w:szCs w:val="20"/>
              </w:rPr>
            </w:pPr>
          </w:p>
        </w:tc>
        <w:tc>
          <w:tcPr>
            <w:tcW w:w="2208" w:type="dxa"/>
            <w:tcBorders>
              <w:top w:val="single" w:color="auto" w:sz="4" w:space="0"/>
              <w:left w:val="nil"/>
              <w:bottom w:val="single" w:color="auto" w:sz="12" w:space="0"/>
              <w:right w:val="single" w:color="auto" w:sz="6" w:space="0"/>
            </w:tcBorders>
          </w:tcPr>
          <w:p>
            <w:pPr>
              <w:jc w:val="center"/>
              <w:rPr>
                <w:rFonts w:ascii="宋体" w:hAnsi="宋体" w:cs="Arial"/>
                <w:kern w:val="0"/>
                <w:sz w:val="20"/>
                <w:szCs w:val="20"/>
              </w:rPr>
            </w:pPr>
          </w:p>
        </w:tc>
        <w:tc>
          <w:tcPr>
            <w:tcW w:w="2030" w:type="dxa"/>
            <w:tcBorders>
              <w:top w:val="single" w:color="auto" w:sz="4" w:space="0"/>
              <w:left w:val="nil"/>
              <w:bottom w:val="single" w:color="auto" w:sz="12" w:space="0"/>
              <w:right w:val="single" w:color="auto" w:sz="4" w:space="0"/>
            </w:tcBorders>
          </w:tcPr>
          <w:p>
            <w:pPr>
              <w:jc w:val="center"/>
              <w:rPr>
                <w:rFonts w:ascii="宋体" w:hAnsi="宋体" w:cs="Arial"/>
                <w:kern w:val="0"/>
                <w:sz w:val="20"/>
                <w:szCs w:val="20"/>
              </w:rPr>
            </w:pPr>
          </w:p>
        </w:tc>
        <w:tc>
          <w:tcPr>
            <w:tcW w:w="1492" w:type="dxa"/>
            <w:tcBorders>
              <w:top w:val="single" w:color="auto" w:sz="4" w:space="0"/>
              <w:left w:val="nil"/>
              <w:bottom w:val="single" w:color="auto" w:sz="12" w:space="0"/>
              <w:right w:val="single" w:color="auto" w:sz="4" w:space="0"/>
            </w:tcBorders>
          </w:tcPr>
          <w:p>
            <w:pPr>
              <w:jc w:val="center"/>
              <w:rPr>
                <w:rFonts w:ascii="宋体" w:hAnsi="宋体" w:cs="Arial"/>
                <w:kern w:val="0"/>
                <w:sz w:val="20"/>
                <w:szCs w:val="20"/>
              </w:rPr>
            </w:pPr>
          </w:p>
        </w:tc>
        <w:tc>
          <w:tcPr>
            <w:tcW w:w="1234" w:type="dxa"/>
            <w:tcBorders>
              <w:top w:val="single" w:color="auto" w:sz="4" w:space="0"/>
              <w:left w:val="single" w:color="auto" w:sz="6" w:space="0"/>
              <w:bottom w:val="single" w:color="auto" w:sz="12" w:space="0"/>
              <w:right w:val="single" w:color="auto" w:sz="12" w:space="0"/>
            </w:tcBorders>
          </w:tcPr>
          <w:p>
            <w:pPr>
              <w:jc w:val="center"/>
              <w:rPr>
                <w:rFonts w:ascii="宋体" w:hAnsi="宋体" w:cs="Arial"/>
                <w:kern w:val="0"/>
                <w:sz w:val="20"/>
                <w:szCs w:val="20"/>
              </w:rPr>
            </w:pPr>
          </w:p>
        </w:tc>
      </w:tr>
    </w:tbl>
    <w:p>
      <w:pPr>
        <w:spacing w:line="360" w:lineRule="auto"/>
        <w:ind w:firstLine="103" w:firstLineChars="49"/>
        <w:rPr>
          <w:rFonts w:ascii="宋体" w:hAnsi="宋体" w:cs="Arial"/>
          <w:b/>
          <w:szCs w:val="21"/>
        </w:rPr>
      </w:pPr>
      <w:r>
        <w:rPr>
          <w:rFonts w:hint="eastAsia" w:ascii="宋体" w:hAnsi="宋体" w:cs="Arial"/>
          <w:b/>
          <w:szCs w:val="21"/>
        </w:rPr>
        <w:t>备注：</w:t>
      </w:r>
    </w:p>
    <w:p>
      <w:pPr>
        <w:widowControl/>
        <w:numPr>
          <w:ilvl w:val="0"/>
          <w:numId w:val="5"/>
        </w:numPr>
        <w:spacing w:line="360" w:lineRule="auto"/>
        <w:ind w:left="425" w:leftChars="0" w:hanging="425" w:firstLineChars="0"/>
        <w:rPr>
          <w:rFonts w:ascii="宋体" w:hAnsi="宋体" w:cs="Arial"/>
          <w:szCs w:val="21"/>
        </w:rPr>
      </w:pPr>
      <w:r>
        <w:rPr>
          <w:rFonts w:hint="eastAsia" w:ascii="宋体" w:hAnsi="宋体" w:cs="Arial"/>
          <w:szCs w:val="21"/>
        </w:rPr>
        <w:t>主要股东或出资人为法人的，填写法人全称及统一社会信息用代码（尚未办理三证合一的填写组织机构代码）。</w:t>
      </w:r>
    </w:p>
    <w:p>
      <w:pPr>
        <w:widowControl/>
        <w:numPr>
          <w:ilvl w:val="0"/>
          <w:numId w:val="5"/>
        </w:numPr>
        <w:spacing w:line="360" w:lineRule="auto"/>
        <w:ind w:left="425" w:leftChars="0" w:hanging="425" w:firstLineChars="0"/>
        <w:rPr>
          <w:rFonts w:ascii="宋体" w:hAnsi="宋体" w:cs="Arial"/>
          <w:szCs w:val="21"/>
        </w:rPr>
      </w:pPr>
      <w:r>
        <w:rPr>
          <w:rFonts w:hint="eastAsia" w:ascii="宋体" w:hAnsi="宋体" w:cs="Arial"/>
          <w:szCs w:val="21"/>
        </w:rPr>
        <w:t>出资方式填写：货币、实物、工艺产权和非专利技术、土地使用权等。</w:t>
      </w:r>
    </w:p>
    <w:p>
      <w:pPr>
        <w:widowControl/>
        <w:numPr>
          <w:ilvl w:val="0"/>
          <w:numId w:val="5"/>
        </w:numPr>
        <w:spacing w:line="360" w:lineRule="auto"/>
        <w:ind w:left="425" w:leftChars="0" w:hanging="425" w:firstLineChars="0"/>
        <w:rPr>
          <w:rFonts w:ascii="宋体" w:hAnsi="宋体" w:cs="Arial"/>
          <w:b/>
          <w:szCs w:val="21"/>
        </w:rPr>
      </w:pPr>
      <w:r>
        <w:rPr>
          <w:rFonts w:hint="eastAsia" w:ascii="宋体" w:hAnsi="宋体" w:cs="Arial"/>
          <w:szCs w:val="21"/>
          <w:lang w:eastAsia="zh-CN"/>
        </w:rPr>
        <w:t>响应</w:t>
      </w:r>
      <w:r>
        <w:rPr>
          <w:rFonts w:hint="eastAsia" w:ascii="宋体" w:hAnsi="宋体" w:cs="Arial"/>
          <w:szCs w:val="21"/>
        </w:rPr>
        <w:t>单位应按照占全部股份比例从大到小依次逐个股东填写，股东数量多于5个的，填写前5名，不足5个全部填写。</w:t>
      </w:r>
      <w:r>
        <w:rPr>
          <w:rFonts w:hint="eastAsia" w:ascii="宋体" w:hAnsi="宋体" w:cs="Arial"/>
          <w:b/>
          <w:szCs w:val="21"/>
        </w:rPr>
        <w:t>同时供应商需打印“国家企业信用信息公示系统”网页查询的信息并加盖供应商单位公章。</w:t>
      </w:r>
    </w:p>
    <w:p>
      <w:pPr>
        <w:spacing w:line="360" w:lineRule="auto"/>
        <w:rPr>
          <w:rFonts w:ascii="宋体" w:hAnsi="宋体"/>
          <w:b/>
          <w:szCs w:val="21"/>
        </w:rPr>
      </w:pPr>
      <w:r>
        <w:rPr>
          <w:rFonts w:hint="eastAsia" w:ascii="宋体" w:hAnsi="宋体"/>
          <w:szCs w:val="21"/>
        </w:rPr>
        <w:t xml:space="preserve">  </w:t>
      </w:r>
      <w:r>
        <w:rPr>
          <w:rFonts w:hint="eastAsia" w:ascii="宋体" w:hAnsi="宋体"/>
          <w:b/>
          <w:szCs w:val="21"/>
        </w:rPr>
        <w:t>兹证明上述声明是真实、正确的，并提供了全部能提供的资料和数据，我们同意遵照贵方要求出示有关证明文件。</w:t>
      </w:r>
    </w:p>
    <w:p>
      <w:pPr>
        <w:adjustRightInd w:val="0"/>
        <w:snapToGrid w:val="0"/>
        <w:spacing w:line="360" w:lineRule="auto"/>
        <w:rPr>
          <w:rFonts w:ascii="宋体" w:hAnsi="宋体"/>
          <w:szCs w:val="21"/>
        </w:rPr>
      </w:pPr>
      <w:bookmarkStart w:id="0" w:name="_Toc110315003"/>
      <w:bookmarkEnd w:id="0"/>
      <w:bookmarkStart w:id="1" w:name="_Toc263336373"/>
      <w:bookmarkEnd w:id="1"/>
      <w:bookmarkStart w:id="2" w:name="_Toc263437597"/>
      <w:bookmarkEnd w:id="2"/>
      <w:bookmarkStart w:id="3" w:name="_Toc263670126"/>
      <w:bookmarkEnd w:id="3"/>
      <w:bookmarkStart w:id="4" w:name="_Toc110315380"/>
      <w:r>
        <w:rPr>
          <w:rFonts w:hint="eastAsia" w:ascii="宋体" w:hAnsi="宋体"/>
          <w:szCs w:val="21"/>
        </w:rPr>
        <w:t>供应商法定代表人（或法定代表人授权代表）签字（或签字章）：</w:t>
      </w:r>
      <w:bookmarkEnd w:id="4"/>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before="100" w:beforeAutospacing="1"/>
        <w:rPr>
          <w:rFonts w:hint="eastAsia" w:ascii="宋体" w:hAnsi="宋体"/>
          <w:b/>
          <w:bCs/>
          <w:sz w:val="24"/>
        </w:rPr>
      </w:pPr>
      <w:r>
        <w:rPr>
          <w:rFonts w:hint="eastAsia" w:ascii="宋体" w:hAnsi="宋体"/>
          <w:b/>
          <w:bCs/>
          <w:sz w:val="24"/>
        </w:rPr>
        <w:t xml:space="preserve"> </w:t>
      </w:r>
      <w:bookmarkStart w:id="5" w:name="_Toc275865607"/>
      <w:bookmarkEnd w:id="5"/>
      <w:bookmarkStart w:id="6" w:name="_Toc435515300"/>
      <w:bookmarkEnd w:id="6"/>
      <w:bookmarkStart w:id="7" w:name="_Toc50737297"/>
      <w:bookmarkEnd w:id="7"/>
      <w:bookmarkStart w:id="8" w:name="_Toc435514860"/>
      <w:bookmarkEnd w:id="8"/>
      <w:bookmarkStart w:id="9" w:name="_Toc435514859"/>
      <w:bookmarkEnd w:id="9"/>
      <w:bookmarkStart w:id="10" w:name="_Toc50736477"/>
      <w:bookmarkEnd w:id="10"/>
      <w:bookmarkStart w:id="11" w:name="_Toc52165081"/>
      <w:bookmarkEnd w:id="11"/>
      <w:bookmarkStart w:id="12" w:name="_Toc275865608"/>
      <w:bookmarkEnd w:id="12"/>
      <w:bookmarkStart w:id="13" w:name="_Toc435515299"/>
      <w:bookmarkEnd w:id="13"/>
      <w:bookmarkStart w:id="14" w:name="_Toc50737329"/>
      <w:r>
        <w:rPr>
          <w:rFonts w:hint="eastAsia" w:ascii="宋体" w:hAnsi="宋体"/>
          <w:b/>
          <w:bCs/>
          <w:sz w:val="24"/>
          <w:lang w:val="en-US" w:eastAsia="zh-CN"/>
        </w:rPr>
        <w:t>3</w:t>
      </w:r>
      <w:r>
        <w:rPr>
          <w:rFonts w:hint="eastAsia" w:ascii="宋体" w:hAnsi="宋体"/>
          <w:b/>
          <w:bCs/>
          <w:sz w:val="24"/>
        </w:rPr>
        <w:t>、供应商</w:t>
      </w:r>
      <w:bookmarkEnd w:id="14"/>
      <w:r>
        <w:rPr>
          <w:rFonts w:hint="eastAsia" w:ascii="宋体" w:hAnsi="宋体"/>
          <w:b/>
          <w:bCs/>
          <w:sz w:val="24"/>
        </w:rPr>
        <w:t>法定代表人证明书和法定代表人授权委托书</w:t>
      </w:r>
    </w:p>
    <w:p>
      <w:pPr>
        <w:autoSpaceDE w:val="0"/>
        <w:autoSpaceDN w:val="0"/>
        <w:adjustRightInd w:val="0"/>
        <w:spacing w:line="360" w:lineRule="auto"/>
        <w:ind w:left="-2" w:leftChars="-1" w:firstLine="2"/>
        <w:jc w:val="center"/>
        <w:outlineLvl w:val="3"/>
        <w:rPr>
          <w:rFonts w:ascii="黑体" w:hAnsi="宋体" w:eastAsia="黑体"/>
          <w:kern w:val="0"/>
          <w:sz w:val="24"/>
        </w:rPr>
      </w:pPr>
      <w:r>
        <w:rPr>
          <w:rFonts w:hint="eastAsia" w:ascii="黑体" w:hAnsi="宋体" w:eastAsia="黑体"/>
          <w:kern w:val="0"/>
          <w:sz w:val="24"/>
        </w:rPr>
        <w:t xml:space="preserve"> </w:t>
      </w:r>
    </w:p>
    <w:p>
      <w:pPr>
        <w:autoSpaceDE w:val="0"/>
        <w:autoSpaceDN w:val="0"/>
        <w:adjustRightInd w:val="0"/>
        <w:spacing w:line="360" w:lineRule="auto"/>
        <w:ind w:left="-2" w:leftChars="-1" w:firstLine="2"/>
        <w:jc w:val="center"/>
        <w:outlineLvl w:val="3"/>
        <w:rPr>
          <w:rFonts w:ascii="黑体" w:hAnsi="宋体" w:eastAsia="黑体"/>
          <w:sz w:val="28"/>
          <w:szCs w:val="28"/>
        </w:rPr>
      </w:pPr>
      <w:r>
        <w:rPr>
          <w:rFonts w:hint="eastAsia" w:ascii="黑体" w:hAnsi="宋体" w:eastAsia="黑体"/>
          <w:kern w:val="0"/>
          <w:sz w:val="28"/>
          <w:szCs w:val="28"/>
        </w:rPr>
        <w:t>法定代表人证明书</w:t>
      </w:r>
    </w:p>
    <w:p>
      <w:pPr>
        <w:adjustRightInd w:val="0"/>
        <w:spacing w:line="480" w:lineRule="auto"/>
        <w:ind w:firstLine="1080" w:firstLineChars="450"/>
        <w:rPr>
          <w:rFonts w:ascii="宋体" w:hAnsi="宋体"/>
          <w:sz w:val="24"/>
        </w:rPr>
      </w:pPr>
      <w:r>
        <w:rPr>
          <w:rFonts w:hint="eastAsia" w:ascii="宋体" w:hAnsi="宋体"/>
          <w:kern w:val="0"/>
          <w:sz w:val="24"/>
        </w:rPr>
        <w:t>______________同志，现任我单位</w:t>
      </w:r>
      <w:r>
        <w:rPr>
          <w:rFonts w:hint="eastAsia" w:ascii="宋体" w:hAnsi="宋体"/>
          <w:kern w:val="0"/>
          <w:sz w:val="24"/>
          <w:u w:val="single"/>
        </w:rPr>
        <w:t xml:space="preserve">          </w:t>
      </w:r>
      <w:r>
        <w:rPr>
          <w:rFonts w:hint="eastAsia" w:ascii="宋体" w:hAnsi="宋体"/>
          <w:kern w:val="0"/>
          <w:sz w:val="24"/>
        </w:rPr>
        <w:t>职务，为法定代表人，特此证明。</w:t>
      </w:r>
    </w:p>
    <w:p>
      <w:pPr>
        <w:adjustRightInd w:val="0"/>
        <w:spacing w:line="360" w:lineRule="auto"/>
        <w:ind w:firstLine="480" w:firstLineChars="200"/>
        <w:rPr>
          <w:rFonts w:ascii="宋体" w:hAnsi="宋体"/>
          <w:sz w:val="24"/>
        </w:rPr>
      </w:pPr>
      <w:r>
        <w:rPr>
          <w:rFonts w:hint="eastAsia" w:ascii="宋体" w:hAnsi="宋体"/>
          <w:kern w:val="0"/>
          <w:sz w:val="24"/>
        </w:rPr>
        <w:t>本证明书自签发之日起生效，有效期与本公司响应文件</w:t>
      </w:r>
      <w:r>
        <w:rPr>
          <w:rFonts w:hint="eastAsia" w:ascii="宋体" w:hAnsi="宋体"/>
          <w:kern w:val="0"/>
          <w:sz w:val="24"/>
          <w:lang w:eastAsia="zh-CN"/>
        </w:rPr>
        <w:t>成交</w:t>
      </w:r>
      <w:r>
        <w:rPr>
          <w:rFonts w:hint="eastAsia" w:ascii="宋体" w:hAnsi="宋体"/>
          <w:kern w:val="0"/>
          <w:sz w:val="24"/>
        </w:rPr>
        <w:t>注的</w:t>
      </w:r>
      <w:r>
        <w:rPr>
          <w:rFonts w:hint="eastAsia" w:ascii="宋体" w:hAnsi="宋体"/>
          <w:kern w:val="0"/>
          <w:sz w:val="24"/>
          <w:lang w:eastAsia="zh-CN"/>
        </w:rPr>
        <w:t>响应</w:t>
      </w:r>
      <w:r>
        <w:rPr>
          <w:rFonts w:hint="eastAsia" w:ascii="宋体" w:hAnsi="宋体"/>
          <w:kern w:val="0"/>
          <w:sz w:val="24"/>
        </w:rPr>
        <w:t>有效期相同。</w:t>
      </w:r>
    </w:p>
    <w:p>
      <w:pPr>
        <w:adjustRightInd w:val="0"/>
        <w:spacing w:line="480" w:lineRule="auto"/>
        <w:ind w:firstLine="480" w:firstLineChars="200"/>
        <w:rPr>
          <w:rFonts w:ascii="宋体" w:hAnsi="宋体"/>
          <w:sz w:val="24"/>
        </w:rPr>
      </w:pPr>
      <w:r>
        <w:rPr>
          <w:rFonts w:hint="eastAsia" w:ascii="宋体" w:hAnsi="宋体"/>
          <w:kern w:val="0"/>
          <w:sz w:val="24"/>
        </w:rPr>
        <w:t>附：</w:t>
      </w:r>
    </w:p>
    <w:p>
      <w:pPr>
        <w:adjustRightInd w:val="0"/>
        <w:spacing w:line="480" w:lineRule="auto"/>
        <w:ind w:firstLine="960" w:firstLineChars="400"/>
        <w:rPr>
          <w:rFonts w:ascii="宋体" w:hAnsi="宋体"/>
          <w:sz w:val="24"/>
        </w:rPr>
      </w:pPr>
      <w:r>
        <w:rPr>
          <w:rFonts w:hint="eastAsia" w:ascii="宋体" w:hAnsi="宋体"/>
          <w:kern w:val="0"/>
          <w:sz w:val="24"/>
        </w:rPr>
        <w:t xml:space="preserve">营业执照（注册号）： </w:t>
      </w:r>
    </w:p>
    <w:p>
      <w:pPr>
        <w:adjustRightInd w:val="0"/>
        <w:spacing w:line="480" w:lineRule="auto"/>
        <w:ind w:firstLine="960" w:firstLineChars="400"/>
        <w:rPr>
          <w:rFonts w:ascii="宋体" w:hAnsi="宋体"/>
          <w:sz w:val="24"/>
        </w:rPr>
      </w:pPr>
      <w:r>
        <w:rPr>
          <w:rFonts w:hint="eastAsia" w:ascii="宋体" w:hAnsi="宋体"/>
          <w:kern w:val="0"/>
          <w:sz w:val="24"/>
        </w:rPr>
        <w:t>经济性质：</w:t>
      </w:r>
    </w:p>
    <w:p>
      <w:pPr>
        <w:adjustRightInd w:val="0"/>
        <w:spacing w:line="480" w:lineRule="auto"/>
        <w:ind w:firstLine="960" w:firstLineChars="400"/>
        <w:rPr>
          <w:rFonts w:ascii="宋体" w:hAnsi="宋体"/>
          <w:sz w:val="24"/>
        </w:rPr>
      </w:pPr>
      <w:r>
        <w:rPr>
          <w:rFonts w:hint="eastAsia" w:ascii="宋体" w:hAnsi="宋体"/>
          <w:kern w:val="0"/>
          <w:sz w:val="24"/>
        </w:rPr>
        <w:t>主营（产）：</w:t>
      </w:r>
    </w:p>
    <w:p>
      <w:pPr>
        <w:adjustRightInd w:val="0"/>
        <w:spacing w:line="480" w:lineRule="auto"/>
        <w:ind w:firstLine="960" w:firstLineChars="400"/>
        <w:rPr>
          <w:rFonts w:ascii="宋体" w:hAnsi="宋体"/>
          <w:sz w:val="24"/>
        </w:rPr>
      </w:pPr>
      <w:r>
        <w:rPr>
          <w:rFonts w:hint="eastAsia" w:ascii="宋体" w:hAnsi="宋体"/>
          <w:kern w:val="0"/>
          <w:sz w:val="24"/>
        </w:rPr>
        <w:t>兼营（产）：</w:t>
      </w:r>
    </w:p>
    <w:p>
      <w:pPr>
        <w:adjustRightInd w:val="0"/>
        <w:spacing w:line="360" w:lineRule="auto"/>
        <w:rPr>
          <w:rFonts w:ascii="宋体" w:hAnsi="Times New Roman"/>
          <w:sz w:val="24"/>
        </w:rPr>
      </w:pPr>
      <w:r>
        <w:rPr>
          <w:rFonts w:ascii="Times New Roman" w:hAnsi="Times New Roman"/>
          <w:szCs w:val="21"/>
        </w:rPr>
        <w:drawing>
          <wp:inline distT="0" distB="0" distL="0" distR="0">
            <wp:extent cx="5600700" cy="1504950"/>
            <wp:effectExtent l="0" t="0" r="0" b="0"/>
            <wp:docPr id="2" name="图片 2" descr="C:\Users\ADMINI~1\AppData\Local\Temp\ksohtml116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1624\wps1.png"/>
                    <pic:cNvPicPr>
                      <a:picLocks noChangeAspect="1" noChangeArrowheads="1"/>
                    </pic:cNvPicPr>
                  </pic:nvPicPr>
                  <pic:blipFill>
                    <a:blip r:embed="rId4" cstate="print"/>
                    <a:srcRect/>
                    <a:stretch>
                      <a:fillRect/>
                    </a:stretch>
                  </pic:blipFill>
                  <pic:spPr>
                    <a:xfrm>
                      <a:off x="0" y="0"/>
                      <a:ext cx="5600700" cy="1504950"/>
                    </a:xfrm>
                    <a:prstGeom prst="rect">
                      <a:avLst/>
                    </a:prstGeom>
                    <a:noFill/>
                    <a:ln w="9525">
                      <a:noFill/>
                      <a:miter lim="800000"/>
                      <a:headEnd/>
                      <a:tailEnd/>
                    </a:ln>
                  </pic:spPr>
                </pic:pic>
              </a:graphicData>
            </a:graphic>
          </wp:inline>
        </w:drawing>
      </w: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b/>
          <w:bCs/>
          <w:sz w:val="24"/>
        </w:rPr>
      </w:pPr>
      <w:r>
        <w:rPr>
          <w:rFonts w:hint="eastAsia" w:ascii="宋体" w:hAnsi="Times New Roman"/>
          <w:sz w:val="24"/>
        </w:rPr>
        <w:t xml:space="preserve"> </w:t>
      </w:r>
      <w:r>
        <w:rPr>
          <w:rFonts w:hint="eastAsia" w:ascii="宋体" w:hAnsi="Times New Roman"/>
          <w:b/>
          <w:bCs/>
          <w:sz w:val="24"/>
        </w:rPr>
        <w:t xml:space="preserve">  </w:t>
      </w:r>
    </w:p>
    <w:p>
      <w:pPr>
        <w:adjustRightInd w:val="0"/>
        <w:spacing w:line="500" w:lineRule="exact"/>
        <w:rPr>
          <w:rFonts w:ascii="宋体" w:hAnsi="Times New Roman"/>
          <w:b/>
          <w:bCs/>
          <w:sz w:val="24"/>
        </w:rPr>
      </w:pPr>
      <w:r>
        <w:rPr>
          <w:rFonts w:hint="eastAsia" w:ascii="宋体" w:hAnsi="Times New Roman"/>
          <w:b/>
          <w:bCs/>
          <w:sz w:val="24"/>
        </w:rPr>
        <w:t xml:space="preserve"> </w:t>
      </w:r>
    </w:p>
    <w:p>
      <w:pPr>
        <w:adjustRightInd w:val="0"/>
        <w:spacing w:line="500" w:lineRule="exact"/>
        <w:ind w:firstLine="5180" w:firstLineChars="2150"/>
        <w:rPr>
          <w:rFonts w:ascii="宋体" w:hAnsi="宋体"/>
          <w:b/>
          <w:bCs/>
          <w:sz w:val="24"/>
        </w:rPr>
      </w:pPr>
      <w:r>
        <w:rPr>
          <w:rFonts w:hint="eastAsia" w:ascii="宋体" w:hAnsi="宋体"/>
          <w:b/>
          <w:bCs/>
          <w:kern w:val="0"/>
          <w:sz w:val="24"/>
        </w:rPr>
        <w:t>供应商名称（单位盖</w:t>
      </w:r>
      <w:r>
        <w:rPr>
          <w:rFonts w:hint="eastAsia" w:ascii="宋体" w:hAnsi="宋体"/>
          <w:b/>
          <w:bCs/>
          <w:spacing w:val="4"/>
          <w:kern w:val="0"/>
          <w:sz w:val="24"/>
        </w:rPr>
        <w:t>公章</w:t>
      </w:r>
      <w:r>
        <w:rPr>
          <w:rFonts w:hint="eastAsia" w:ascii="宋体" w:hAnsi="宋体"/>
          <w:b/>
          <w:bCs/>
          <w:kern w:val="0"/>
          <w:sz w:val="24"/>
        </w:rPr>
        <w:t>）：</w:t>
      </w:r>
      <w:r>
        <w:rPr>
          <w:rFonts w:ascii="Times New Roman" w:hAnsi="Times New Roman"/>
          <w:b/>
          <w:bCs/>
          <w:spacing w:val="4"/>
          <w:kern w:val="0"/>
          <w:sz w:val="24"/>
          <w:u w:val="single"/>
        </w:rPr>
        <w:t xml:space="preserve">                </w:t>
      </w:r>
    </w:p>
    <w:p>
      <w:pPr>
        <w:adjustRightInd w:val="0"/>
        <w:spacing w:line="500" w:lineRule="exact"/>
        <w:rPr>
          <w:rFonts w:ascii="宋体" w:hAnsi="宋体"/>
          <w:b/>
          <w:bCs/>
          <w:sz w:val="24"/>
        </w:rPr>
      </w:pPr>
      <w:r>
        <w:rPr>
          <w:rFonts w:hint="eastAsia" w:ascii="宋体" w:hAnsi="宋体"/>
          <w:b/>
          <w:bCs/>
          <w:kern w:val="0"/>
          <w:sz w:val="24"/>
        </w:rPr>
        <w:t xml:space="preserve">                                           地址：</w:t>
      </w:r>
      <w:r>
        <w:rPr>
          <w:rFonts w:ascii="Times New Roman" w:hAnsi="Times New Roman"/>
          <w:b/>
          <w:bCs/>
          <w:spacing w:val="4"/>
          <w:kern w:val="0"/>
          <w:sz w:val="24"/>
          <w:u w:val="single"/>
        </w:rPr>
        <w:t xml:space="preserve">                </w:t>
      </w:r>
    </w:p>
    <w:p>
      <w:pPr>
        <w:adjustRightInd w:val="0"/>
        <w:spacing w:line="500" w:lineRule="exact"/>
        <w:rPr>
          <w:rFonts w:ascii="宋体" w:hAnsi="Times New Roman"/>
          <w:b/>
          <w:bCs/>
          <w:sz w:val="24"/>
        </w:rPr>
      </w:pPr>
      <w:r>
        <w:rPr>
          <w:rFonts w:hint="eastAsia" w:ascii="宋体" w:hAnsi="宋体"/>
          <w:b/>
          <w:bCs/>
          <w:kern w:val="0"/>
          <w:sz w:val="24"/>
        </w:rPr>
        <w:t xml:space="preserve">                                           签发日期：</w:t>
      </w:r>
      <w:r>
        <w:rPr>
          <w:rFonts w:ascii="Times New Roman" w:hAnsi="Times New Roman"/>
          <w:b/>
          <w:bCs/>
          <w:spacing w:val="4"/>
          <w:kern w:val="0"/>
          <w:sz w:val="24"/>
          <w:u w:val="single"/>
        </w:rPr>
        <w:t xml:space="preserve">                </w:t>
      </w:r>
    </w:p>
    <w:p>
      <w:pPr>
        <w:autoSpaceDE w:val="0"/>
        <w:autoSpaceDN w:val="0"/>
        <w:adjustRightInd w:val="0"/>
        <w:spacing w:line="360" w:lineRule="auto"/>
        <w:ind w:left="-2" w:leftChars="-1" w:firstLine="2"/>
        <w:jc w:val="center"/>
        <w:outlineLvl w:val="3"/>
        <w:rPr>
          <w:rFonts w:ascii="黑体" w:hAnsi="宋体" w:eastAsia="黑体"/>
          <w:kern w:val="0"/>
          <w:sz w:val="32"/>
          <w:szCs w:val="32"/>
        </w:rPr>
      </w:pPr>
      <w:r>
        <w:rPr>
          <w:rFonts w:hint="eastAsia" w:ascii="黑体" w:hAnsi="宋体" w:eastAsia="黑体"/>
          <w:kern w:val="0"/>
          <w:sz w:val="32"/>
          <w:szCs w:val="32"/>
        </w:rPr>
        <w:t xml:space="preserve"> </w:t>
      </w:r>
    </w:p>
    <w:p>
      <w:pPr>
        <w:spacing w:before="100" w:beforeAutospacing="1"/>
        <w:jc w:val="center"/>
        <w:rPr>
          <w:rFonts w:ascii="黑体" w:hAnsi="宋体" w:eastAsia="黑体"/>
          <w:sz w:val="28"/>
          <w:szCs w:val="28"/>
        </w:rPr>
      </w:pPr>
      <w:r>
        <w:rPr>
          <w:rFonts w:hint="eastAsia" w:ascii="黑体" w:hAnsi="宋体" w:eastAsia="黑体"/>
          <w:kern w:val="0"/>
          <w:sz w:val="28"/>
          <w:szCs w:val="28"/>
        </w:rPr>
        <w:t>法定代表人授权委托书</w:t>
      </w:r>
    </w:p>
    <w:p>
      <w:pPr>
        <w:adjustRightInd w:val="0"/>
        <w:spacing w:line="360" w:lineRule="auto"/>
        <w:ind w:firstLine="480" w:firstLineChars="200"/>
        <w:rPr>
          <w:rFonts w:ascii="宋体" w:hAnsi="宋体" w:cs="宋体"/>
          <w:kern w:val="0"/>
          <w:sz w:val="24"/>
        </w:rPr>
      </w:pPr>
      <w:r>
        <w:rPr>
          <w:rFonts w:hint="eastAsia" w:ascii="宋体" w:hAnsi="宋体" w:cs="Courier New"/>
          <w:kern w:val="0"/>
          <w:sz w:val="24"/>
        </w:rPr>
        <w:t>本授权委托书声明：注册于</w:t>
      </w:r>
      <w:r>
        <w:rPr>
          <w:rFonts w:hint="eastAsia" w:ascii="宋体" w:hAnsi="Courier New" w:cs="Courier New"/>
          <w:kern w:val="0"/>
          <w:sz w:val="24"/>
          <w:u w:val="single"/>
        </w:rPr>
        <w:t xml:space="preserve"> </w:t>
      </w:r>
      <w:r>
        <w:rPr>
          <w:rFonts w:hint="eastAsia" w:ascii="宋体" w:hAnsi="宋体" w:cs="Courier New"/>
          <w:kern w:val="0"/>
          <w:sz w:val="24"/>
          <w:u w:val="single"/>
        </w:rPr>
        <w:t>（供应商地址）</w:t>
      </w:r>
      <w:r>
        <w:rPr>
          <w:rFonts w:hint="eastAsia" w:ascii="宋体" w:hAnsi="Courier New" w:cs="Courier New"/>
          <w:kern w:val="0"/>
          <w:sz w:val="24"/>
          <w:u w:val="single"/>
        </w:rPr>
        <w:t xml:space="preserve">  </w:t>
      </w:r>
      <w:r>
        <w:rPr>
          <w:rFonts w:hint="eastAsia" w:ascii="宋体" w:hAnsi="宋体" w:cs="Courier New"/>
          <w:kern w:val="0"/>
          <w:sz w:val="24"/>
        </w:rPr>
        <w:t>的</w:t>
      </w:r>
      <w:r>
        <w:rPr>
          <w:rFonts w:hint="eastAsia" w:ascii="宋体" w:hAnsi="Courier New" w:cs="Courier New"/>
          <w:kern w:val="0"/>
          <w:sz w:val="24"/>
          <w:u w:val="single"/>
        </w:rPr>
        <w:t xml:space="preserve">  </w:t>
      </w:r>
      <w:r>
        <w:rPr>
          <w:rFonts w:hint="eastAsia" w:ascii="宋体" w:hAnsi="宋体" w:cs="Courier New"/>
          <w:kern w:val="0"/>
          <w:sz w:val="24"/>
          <w:u w:val="single"/>
        </w:rPr>
        <w:t>（单位名称）</w:t>
      </w:r>
      <w:r>
        <w:rPr>
          <w:rFonts w:hint="eastAsia" w:ascii="宋体" w:hAnsi="Courier New" w:cs="Courier New"/>
          <w:kern w:val="0"/>
          <w:sz w:val="24"/>
          <w:u w:val="single"/>
        </w:rPr>
        <w:t xml:space="preserve">    </w:t>
      </w:r>
      <w:r>
        <w:rPr>
          <w:rFonts w:hint="eastAsia" w:ascii="宋体" w:hAnsi="宋体" w:cs="Courier New"/>
          <w:kern w:val="0"/>
          <w:sz w:val="24"/>
        </w:rPr>
        <w:t>在下面签名的</w:t>
      </w:r>
      <w:r>
        <w:rPr>
          <w:rFonts w:hint="eastAsia" w:ascii="宋体" w:hAnsi="宋体" w:cs="Courier New"/>
          <w:kern w:val="0"/>
          <w:sz w:val="24"/>
          <w:u w:val="single"/>
        </w:rPr>
        <w:t>（法定代表人姓名、职务）</w:t>
      </w:r>
      <w:r>
        <w:rPr>
          <w:rFonts w:hint="eastAsia" w:ascii="宋体" w:hAnsi="宋体" w:cs="Courier New"/>
          <w:kern w:val="0"/>
          <w:sz w:val="24"/>
        </w:rPr>
        <w:t>在此授权</w:t>
      </w:r>
      <w:r>
        <w:rPr>
          <w:rFonts w:hint="eastAsia" w:ascii="宋体" w:hAnsi="宋体" w:cs="Courier New"/>
          <w:kern w:val="0"/>
          <w:sz w:val="24"/>
          <w:u w:val="single"/>
        </w:rPr>
        <w:t>（被授权人姓名、职务）</w:t>
      </w:r>
      <w:r>
        <w:rPr>
          <w:rFonts w:hint="eastAsia" w:ascii="宋体" w:hAnsi="宋体" w:cs="Courier New"/>
          <w:kern w:val="0"/>
          <w:sz w:val="24"/>
        </w:rPr>
        <w:t>作为我公司的合法代理人，就</w:t>
      </w:r>
      <w:r>
        <w:rPr>
          <w:rFonts w:hint="eastAsia" w:ascii="宋体" w:hAnsi="宋体" w:cs="Courier New"/>
          <w:kern w:val="0"/>
          <w:sz w:val="24"/>
          <w:u w:val="single"/>
        </w:rPr>
        <w:t>（项目名称、项目编号</w:t>
      </w:r>
      <w:r>
        <w:rPr>
          <w:rFonts w:hint="eastAsia" w:ascii="宋体" w:hAnsi="宋体" w:cs="Courier New"/>
          <w:kern w:val="0"/>
          <w:sz w:val="24"/>
        </w:rPr>
        <w:t>）的招</w:t>
      </w:r>
      <w:r>
        <w:rPr>
          <w:rFonts w:hint="eastAsia" w:ascii="宋体" w:hAnsi="宋体" w:cs="Courier New"/>
          <w:kern w:val="0"/>
          <w:sz w:val="24"/>
          <w:lang w:eastAsia="zh-CN"/>
        </w:rPr>
        <w:t>响应</w:t>
      </w:r>
      <w:r>
        <w:rPr>
          <w:rFonts w:hint="eastAsia" w:ascii="宋体" w:hAnsi="宋体" w:cs="Courier New"/>
          <w:kern w:val="0"/>
          <w:sz w:val="24"/>
        </w:rPr>
        <w:t>活动，采购合同的签订、执行、完成和售后服务，作为供应商代表以我方的名义处理一切与之有关的事务。</w:t>
      </w:r>
    </w:p>
    <w:p>
      <w:pPr>
        <w:adjustRightInd w:val="0"/>
        <w:spacing w:line="360" w:lineRule="auto"/>
        <w:ind w:firstLine="480" w:firstLineChars="200"/>
        <w:rPr>
          <w:rFonts w:ascii="宋体" w:hAnsi="宋体" w:cs="宋体"/>
          <w:kern w:val="0"/>
          <w:sz w:val="24"/>
        </w:rPr>
      </w:pPr>
      <w:r>
        <w:rPr>
          <w:rFonts w:hint="eastAsia" w:ascii="宋体" w:hAnsi="宋体" w:cs="Courier New"/>
          <w:kern w:val="0"/>
          <w:sz w:val="24"/>
        </w:rPr>
        <w:t>被授权人（供应商授权代表）无转委托权限。</w:t>
      </w:r>
    </w:p>
    <w:p>
      <w:pPr>
        <w:adjustRightInd w:val="0"/>
        <w:spacing w:line="360" w:lineRule="auto"/>
        <w:ind w:firstLine="480" w:firstLineChars="200"/>
        <w:rPr>
          <w:rFonts w:ascii="宋体" w:hAnsi="Times New Roman"/>
          <w:sz w:val="24"/>
        </w:rPr>
      </w:pPr>
      <w:r>
        <w:rPr>
          <w:rFonts w:hint="eastAsia" w:ascii="宋体" w:hAnsi="宋体"/>
          <w:kern w:val="0"/>
          <w:sz w:val="24"/>
        </w:rPr>
        <w:t>本授权书自法定代表人签字（或盖个人名章）之日起生效，特此声明。</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宋体"/>
          <w:kern w:val="0"/>
          <w:sz w:val="24"/>
        </w:rPr>
        <w:t>供应商名称（单位盖</w:t>
      </w:r>
      <w:r>
        <w:rPr>
          <w:rFonts w:hint="eastAsia" w:ascii="宋体" w:hAnsi="宋体"/>
          <w:spacing w:val="4"/>
          <w:kern w:val="0"/>
          <w:sz w:val="24"/>
        </w:rPr>
        <w:t>公章</w:t>
      </w:r>
      <w:r>
        <w:rPr>
          <w:rFonts w:hint="eastAsia" w:ascii="宋体" w:hAnsi="宋体"/>
          <w:kern w:val="0"/>
          <w:sz w:val="24"/>
        </w:rPr>
        <w:t>）：</w:t>
      </w:r>
      <w:r>
        <w:rPr>
          <w:rFonts w:ascii="Times New Roman" w:hAnsi="Times New Roman"/>
          <w:spacing w:val="4"/>
          <w:kern w:val="0"/>
          <w:sz w:val="24"/>
          <w:u w:val="single"/>
        </w:rPr>
        <w:t xml:space="preserve">                </w:t>
      </w:r>
    </w:p>
    <w:p>
      <w:pPr>
        <w:adjustRightInd w:val="0"/>
        <w:spacing w:line="360" w:lineRule="auto"/>
        <w:rPr>
          <w:rFonts w:ascii="宋体" w:hAnsi="Times New Roman"/>
          <w:sz w:val="24"/>
        </w:rPr>
      </w:pPr>
      <w:r>
        <w:rPr>
          <w:rFonts w:hint="eastAsia" w:ascii="宋体" w:hAnsi="宋体"/>
          <w:kern w:val="0"/>
          <w:sz w:val="24"/>
        </w:rPr>
        <w:t>地</w:t>
      </w:r>
      <w:r>
        <w:rPr>
          <w:rFonts w:hint="eastAsia" w:ascii="宋体" w:hAnsi="Times New Roman"/>
          <w:kern w:val="0"/>
          <w:sz w:val="24"/>
        </w:rPr>
        <w:t xml:space="preserve">      </w:t>
      </w:r>
      <w:r>
        <w:rPr>
          <w:rFonts w:hint="eastAsia" w:ascii="宋体" w:hAnsi="宋体"/>
          <w:kern w:val="0"/>
          <w:sz w:val="24"/>
        </w:rPr>
        <w:t>址：</w:t>
      </w:r>
      <w:r>
        <w:rPr>
          <w:rFonts w:ascii="Times New Roman" w:hAnsi="Times New Roman"/>
          <w:spacing w:val="4"/>
          <w:kern w:val="0"/>
          <w:sz w:val="24"/>
          <w:u w:val="single"/>
        </w:rPr>
        <w:t xml:space="preserve">                </w:t>
      </w:r>
    </w:p>
    <w:p>
      <w:pPr>
        <w:adjustRightInd w:val="0"/>
        <w:spacing w:line="360" w:lineRule="auto"/>
        <w:rPr>
          <w:rFonts w:ascii="宋体" w:hAnsi="Times New Roman"/>
          <w:sz w:val="24"/>
        </w:rPr>
      </w:pPr>
      <w:r>
        <w:rPr>
          <w:rFonts w:hint="eastAsia" w:ascii="宋体" w:hAnsi="宋体"/>
          <w:b/>
          <w:bCs/>
          <w:kern w:val="0"/>
          <w:sz w:val="24"/>
        </w:rPr>
        <w:t>法定代表人（签字或盖个人名章）：</w:t>
      </w:r>
      <w:r>
        <w:rPr>
          <w:rFonts w:ascii="Times New Roman" w:hAnsi="Times New Roman"/>
          <w:spacing w:val="4"/>
          <w:kern w:val="0"/>
          <w:sz w:val="24"/>
          <w:u w:val="single"/>
        </w:rPr>
        <w:t xml:space="preserve">                </w:t>
      </w:r>
      <w:r>
        <w:rPr>
          <w:rFonts w:hint="eastAsia" w:ascii="宋体" w:hAnsi="Times New Roman"/>
          <w:b/>
          <w:bCs/>
          <w:kern w:val="0"/>
          <w:sz w:val="24"/>
        </w:rPr>
        <w:t xml:space="preserve">     </w:t>
      </w:r>
      <w:r>
        <w:rPr>
          <w:rFonts w:hint="eastAsia" w:ascii="宋体" w:hAnsi="Times New Roman"/>
          <w:kern w:val="0"/>
          <w:sz w:val="24"/>
        </w:rPr>
        <w:t xml:space="preserve">    </w:t>
      </w:r>
    </w:p>
    <w:p>
      <w:pPr>
        <w:adjustRightInd w:val="0"/>
        <w:spacing w:line="360" w:lineRule="auto"/>
        <w:rPr>
          <w:rFonts w:ascii="宋体" w:hAnsi="Times New Roman"/>
          <w:sz w:val="24"/>
        </w:rPr>
      </w:pPr>
      <w:r>
        <w:rPr>
          <w:rFonts w:hint="eastAsia" w:ascii="宋体" w:hAnsi="宋体"/>
          <w:kern w:val="0"/>
          <w:sz w:val="24"/>
        </w:rPr>
        <w:t>签字日期：</w:t>
      </w:r>
      <w:r>
        <w:rPr>
          <w:rFonts w:hint="eastAsia" w:ascii="宋体" w:hAnsi="Times New Roman"/>
          <w:kern w:val="0"/>
          <w:sz w:val="24"/>
        </w:rPr>
        <w:t xml:space="preserve">  </w:t>
      </w:r>
      <w:r>
        <w:rPr>
          <w:rFonts w:hint="eastAsia" w:ascii="宋体" w:hAnsi="宋体"/>
          <w:kern w:val="0"/>
          <w:sz w:val="24"/>
        </w:rPr>
        <w:t>年  月  日</w:t>
      </w:r>
    </w:p>
    <w:p>
      <w:pPr>
        <w:adjustRightInd w:val="0"/>
        <w:spacing w:line="360" w:lineRule="auto"/>
        <w:ind w:left="1159" w:leftChars="552" w:firstLine="2261"/>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ascii="Times New Roman" w:hAnsi="Times New Roman"/>
          <w:szCs w:val="21"/>
        </w:rPr>
        <w:drawing>
          <wp:inline distT="0" distB="0" distL="0" distR="0">
            <wp:extent cx="5600700" cy="1504950"/>
            <wp:effectExtent l="0" t="0" r="0" b="0"/>
            <wp:docPr id="3" name="图片 3" descr="C:\Users\ADMINI~1\AppData\Local\Temp\ksohtml1162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11624\wps2.png"/>
                    <pic:cNvPicPr>
                      <a:picLocks noChangeAspect="1" noChangeArrowheads="1"/>
                    </pic:cNvPicPr>
                  </pic:nvPicPr>
                  <pic:blipFill>
                    <a:blip r:embed="rId5" cstate="print"/>
                    <a:srcRect/>
                    <a:stretch>
                      <a:fillRect/>
                    </a:stretch>
                  </pic:blipFill>
                  <pic:spPr>
                    <a:xfrm>
                      <a:off x="0" y="0"/>
                      <a:ext cx="5600700" cy="1504950"/>
                    </a:xfrm>
                    <a:prstGeom prst="rect">
                      <a:avLst/>
                    </a:prstGeom>
                    <a:noFill/>
                    <a:ln w="9525">
                      <a:noFill/>
                      <a:miter lim="800000"/>
                      <a:headEnd/>
                      <a:tailEnd/>
                    </a:ln>
                  </pic:spPr>
                </pic:pic>
              </a:graphicData>
            </a:graphic>
          </wp:inline>
        </w:drawing>
      </w: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numPr>
          <w:ilvl w:val="0"/>
          <w:numId w:val="0"/>
        </w:numPr>
        <w:rPr>
          <w:rFonts w:hint="eastAsia"/>
          <w:b/>
          <w:bCs/>
        </w:rPr>
      </w:pPr>
      <w:r>
        <w:rPr>
          <w:rFonts w:hint="eastAsia"/>
          <w:b/>
          <w:bCs/>
          <w:lang w:eastAsia="zh-CN"/>
        </w:rPr>
        <w:t>（三）</w:t>
      </w:r>
      <w:r>
        <w:rPr>
          <w:rFonts w:hint="eastAsia"/>
          <w:b/>
          <w:bCs/>
        </w:rPr>
        <w:t>实质性响应一览表</w:t>
      </w:r>
    </w:p>
    <w:p>
      <w:pPr>
        <w:widowControl w:val="0"/>
        <w:numPr>
          <w:ilvl w:val="0"/>
          <w:numId w:val="0"/>
        </w:numPr>
        <w:jc w:val="both"/>
        <w:rPr>
          <w:rFonts w:hint="eastAsia"/>
          <w:b/>
          <w:bCs/>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jc w:val="center"/>
              <w:rPr>
                <w:rFonts w:hint="eastAsia"/>
                <w:vertAlign w:val="baseline"/>
              </w:rPr>
            </w:pPr>
            <w:r>
              <w:rPr>
                <w:rFonts w:hint="eastAsia"/>
                <w:vertAlign w:val="baseline"/>
              </w:rPr>
              <w:t>序号</w:t>
            </w:r>
          </w:p>
        </w:tc>
        <w:tc>
          <w:tcPr>
            <w:tcW w:w="2130" w:type="dxa"/>
          </w:tcPr>
          <w:p>
            <w:pPr>
              <w:jc w:val="center"/>
              <w:rPr>
                <w:rFonts w:hint="eastAsia"/>
                <w:vertAlign w:val="baseline"/>
              </w:rPr>
            </w:pPr>
            <w:r>
              <w:rPr>
                <w:rFonts w:hint="eastAsia"/>
                <w:vertAlign w:val="baseline"/>
              </w:rPr>
              <w:t>实质性响应条款</w:t>
            </w:r>
          </w:p>
        </w:tc>
        <w:tc>
          <w:tcPr>
            <w:tcW w:w="2131" w:type="dxa"/>
          </w:tcPr>
          <w:p>
            <w:pPr>
              <w:jc w:val="center"/>
              <w:rPr>
                <w:rFonts w:hint="eastAsia"/>
                <w:vertAlign w:val="baseline"/>
              </w:rPr>
            </w:pPr>
            <w:r>
              <w:rPr>
                <w:rFonts w:hint="eastAsia"/>
                <w:vertAlign w:val="baseline"/>
                <w:lang w:eastAsia="zh-CN"/>
              </w:rPr>
              <w:t>供应商</w:t>
            </w:r>
            <w:r>
              <w:rPr>
                <w:rFonts w:hint="eastAsia"/>
                <w:vertAlign w:val="baseline"/>
              </w:rPr>
              <w:t>响应情况</w:t>
            </w:r>
          </w:p>
        </w:tc>
        <w:tc>
          <w:tcPr>
            <w:tcW w:w="2131" w:type="dxa"/>
          </w:tcPr>
          <w:p>
            <w:pPr>
              <w:jc w:val="center"/>
              <w:rPr>
                <w:rFonts w:hint="eastAsia"/>
                <w:vertAlign w:val="baseline"/>
              </w:rPr>
            </w:pPr>
            <w:r>
              <w:rPr>
                <w:rFonts w:hint="eastAsia"/>
                <w:vertAlign w:val="baseline"/>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Theme="minorEastAsia"/>
                <w:vertAlign w:val="baseline"/>
                <w:lang w:val="en-US" w:eastAsia="zh-CN"/>
              </w:rPr>
            </w:pPr>
            <w:r>
              <w:rPr>
                <w:rFonts w:hint="eastAsia"/>
                <w:vertAlign w:val="baseline"/>
                <w:lang w:val="en-US" w:eastAsia="zh-CN"/>
              </w:rPr>
              <w:t>1</w:t>
            </w:r>
          </w:p>
        </w:tc>
        <w:tc>
          <w:tcPr>
            <w:tcW w:w="2130" w:type="dxa"/>
          </w:tcPr>
          <w:p>
            <w:pPr>
              <w:rPr>
                <w:rFonts w:hint="eastAsia"/>
                <w:vertAlign w:val="baseline"/>
              </w:rPr>
            </w:pPr>
          </w:p>
        </w:tc>
        <w:tc>
          <w:tcPr>
            <w:tcW w:w="2131" w:type="dxa"/>
          </w:tcPr>
          <w:p>
            <w:pPr>
              <w:rPr>
                <w:rFonts w:hint="eastAsia"/>
                <w:vertAlign w:val="baseline"/>
              </w:rPr>
            </w:pPr>
          </w:p>
        </w:tc>
        <w:tc>
          <w:tcPr>
            <w:tcW w:w="2131"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Theme="minorEastAsia"/>
                <w:vertAlign w:val="baseline"/>
                <w:lang w:val="en-US" w:eastAsia="zh-CN"/>
              </w:rPr>
            </w:pPr>
            <w:r>
              <w:rPr>
                <w:rFonts w:hint="eastAsia"/>
                <w:vertAlign w:val="baseline"/>
                <w:lang w:val="en-US" w:eastAsia="zh-CN"/>
              </w:rPr>
              <w:t>2</w:t>
            </w:r>
          </w:p>
        </w:tc>
        <w:tc>
          <w:tcPr>
            <w:tcW w:w="2130" w:type="dxa"/>
          </w:tcPr>
          <w:p>
            <w:pPr>
              <w:rPr>
                <w:rFonts w:hint="eastAsia"/>
                <w:vertAlign w:val="baseline"/>
              </w:rPr>
            </w:pPr>
          </w:p>
        </w:tc>
        <w:tc>
          <w:tcPr>
            <w:tcW w:w="2131" w:type="dxa"/>
          </w:tcPr>
          <w:p>
            <w:pPr>
              <w:rPr>
                <w:rFonts w:hint="eastAsia"/>
                <w:vertAlign w:val="baseline"/>
              </w:rPr>
            </w:pPr>
          </w:p>
        </w:tc>
        <w:tc>
          <w:tcPr>
            <w:tcW w:w="2131"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Theme="minorEastAsia"/>
                <w:vertAlign w:val="baseline"/>
                <w:lang w:val="en-US" w:eastAsia="zh-CN"/>
              </w:rPr>
            </w:pPr>
            <w:r>
              <w:rPr>
                <w:rFonts w:hint="eastAsia"/>
                <w:vertAlign w:val="baseline"/>
                <w:lang w:val="en-US" w:eastAsia="zh-CN"/>
              </w:rPr>
              <w:t>....</w:t>
            </w:r>
          </w:p>
        </w:tc>
        <w:tc>
          <w:tcPr>
            <w:tcW w:w="2130" w:type="dxa"/>
          </w:tcPr>
          <w:p>
            <w:pPr>
              <w:rPr>
                <w:rFonts w:hint="eastAsia"/>
                <w:vertAlign w:val="baseline"/>
              </w:rPr>
            </w:pPr>
          </w:p>
        </w:tc>
        <w:tc>
          <w:tcPr>
            <w:tcW w:w="2131" w:type="dxa"/>
          </w:tcPr>
          <w:p>
            <w:pPr>
              <w:rPr>
                <w:rFonts w:hint="eastAsia"/>
                <w:vertAlign w:val="baseline"/>
              </w:rPr>
            </w:pPr>
          </w:p>
        </w:tc>
        <w:tc>
          <w:tcPr>
            <w:tcW w:w="2131" w:type="dxa"/>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Theme="minorEastAsia"/>
                <w:vertAlign w:val="baseline"/>
                <w:lang w:val="en-US" w:eastAsia="zh-CN"/>
              </w:rPr>
            </w:pPr>
            <w:r>
              <w:rPr>
                <w:rFonts w:hint="eastAsia"/>
                <w:vertAlign w:val="baseline"/>
                <w:lang w:val="en-US" w:eastAsia="zh-CN"/>
              </w:rPr>
              <w:t>....</w:t>
            </w:r>
          </w:p>
        </w:tc>
        <w:tc>
          <w:tcPr>
            <w:tcW w:w="2130" w:type="dxa"/>
          </w:tcPr>
          <w:p>
            <w:pPr>
              <w:rPr>
                <w:rFonts w:hint="eastAsia"/>
                <w:vertAlign w:val="baseline"/>
              </w:rPr>
            </w:pPr>
          </w:p>
        </w:tc>
        <w:tc>
          <w:tcPr>
            <w:tcW w:w="2131" w:type="dxa"/>
          </w:tcPr>
          <w:p>
            <w:pPr>
              <w:rPr>
                <w:rFonts w:hint="eastAsia"/>
                <w:vertAlign w:val="baseline"/>
              </w:rPr>
            </w:pPr>
          </w:p>
        </w:tc>
        <w:tc>
          <w:tcPr>
            <w:tcW w:w="2131" w:type="dxa"/>
          </w:tcPr>
          <w:p>
            <w:pPr>
              <w:rPr>
                <w:rFonts w:hint="eastAsia"/>
                <w:vertAlign w:val="baseline"/>
              </w:rPr>
            </w:pPr>
          </w:p>
        </w:tc>
      </w:tr>
    </w:tbl>
    <w:p>
      <w:pPr>
        <w:rPr>
          <w:rFonts w:hint="eastAsia"/>
        </w:rPr>
      </w:pPr>
    </w:p>
    <w:p>
      <w:pPr>
        <w:rPr>
          <w:rFonts w:hint="eastAsia"/>
        </w:rPr>
      </w:pPr>
    </w:p>
    <w:p>
      <w:pPr>
        <w:rPr>
          <w:rFonts w:hint="eastAsia"/>
        </w:rPr>
      </w:pPr>
      <w:r>
        <w:rPr>
          <w:rFonts w:hint="eastAsia"/>
        </w:rPr>
        <w:t>说明:</w:t>
      </w:r>
    </w:p>
    <w:p>
      <w:r>
        <w:rPr>
          <w:rFonts w:hint="eastAsia"/>
        </w:rPr>
        <w:t>1.实质性响应条款一览表后续内容请根据采购需求</w:t>
      </w:r>
      <w:r>
        <w:t>“★”</w:t>
      </w:r>
      <w:r>
        <w:rPr>
          <w:rFonts w:hint="eastAsia"/>
        </w:rPr>
        <w:t>号条款详细列举2.本表所列条款必须一一予以响应，“</w:t>
      </w:r>
      <w:r>
        <w:rPr>
          <w:rFonts w:hint="eastAsia"/>
          <w:lang w:eastAsia="zh-CN"/>
        </w:rPr>
        <w:t>供应商</w:t>
      </w:r>
      <w:r>
        <w:rPr>
          <w:rFonts w:hint="eastAsia"/>
        </w:rPr>
        <w:t>响应情况”一栏应填写具体的响应内容，有差异的要具体说明3.诸</w:t>
      </w:r>
      <w:r>
        <w:rPr>
          <w:rFonts w:hint="eastAsia"/>
          <w:lang w:eastAsia="zh-CN"/>
        </w:rPr>
        <w:t>供应商</w:t>
      </w:r>
      <w:r>
        <w:rPr>
          <w:rFonts w:hint="eastAsia"/>
        </w:rPr>
        <w:t>认真道写本表内容，如填写错误将可能导致投标无效</w:t>
      </w:r>
    </w:p>
    <w:p>
      <w:pPr>
        <w:adjustRightInd w:val="0"/>
        <w:spacing w:line="360" w:lineRule="auto"/>
        <w:rPr>
          <w:rFonts w:ascii="宋体" w:hAnsi="Times New Roman"/>
          <w:sz w:val="24"/>
        </w:rPr>
      </w:pP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adjustRightInd w:val="0"/>
        <w:spacing w:line="360" w:lineRule="auto"/>
        <w:rPr>
          <w:rFonts w:ascii="宋体" w:hAnsi="Times New Roman"/>
          <w:sz w:val="24"/>
        </w:rPr>
      </w:pPr>
      <w:r>
        <w:rPr>
          <w:rFonts w:hint="eastAsia" w:ascii="宋体" w:hAnsi="Times New Roman"/>
          <w:sz w:val="24"/>
        </w:rPr>
        <w:t xml:space="preserve"> </w:t>
      </w:r>
    </w:p>
    <w:p>
      <w:pPr>
        <w:rPr>
          <w:b/>
          <w:bCs/>
          <w:sz w:val="24"/>
        </w:rPr>
      </w:pPr>
      <w:r>
        <w:rPr>
          <w:rFonts w:hint="eastAsia"/>
          <w:b/>
          <w:bCs/>
          <w:sz w:val="24"/>
        </w:rPr>
        <w:t xml:space="preserve"> </w:t>
      </w:r>
    </w:p>
    <w:p>
      <w:pPr>
        <w:spacing w:before="100" w:beforeAutospacing="1"/>
        <w:rPr>
          <w:b/>
          <w:bCs/>
          <w:color w:val="FF0000"/>
          <w:sz w:val="24"/>
        </w:rPr>
      </w:pPr>
      <w:r>
        <w:rPr>
          <w:rFonts w:hint="eastAsia"/>
          <w:b/>
          <w:bCs/>
          <w:color w:val="FF0000"/>
          <w:sz w:val="24"/>
        </w:rPr>
        <w:t xml:space="preserve"> </w:t>
      </w:r>
    </w:p>
    <w:p>
      <w:pPr>
        <w:spacing w:before="100" w:beforeAutospacing="1"/>
        <w:rPr>
          <w:b/>
          <w:bCs/>
          <w:sz w:val="24"/>
        </w:rPr>
      </w:pPr>
      <w:r>
        <w:rPr>
          <w:rFonts w:hint="eastAsia"/>
          <w:b/>
          <w:bCs/>
          <w:color w:val="FF0000"/>
          <w:sz w:val="24"/>
        </w:rPr>
        <w:t xml:space="preserve"> </w:t>
      </w:r>
      <w:r>
        <w:rPr>
          <w:rFonts w:hint="eastAsia" w:ascii="宋体" w:hAnsi="宋体"/>
          <w:b/>
          <w:bCs/>
          <w:sz w:val="24"/>
        </w:rPr>
        <w:t>（</w:t>
      </w:r>
      <w:r>
        <w:rPr>
          <w:rFonts w:hint="eastAsia" w:ascii="宋体" w:hAnsi="宋体"/>
          <w:b/>
          <w:bCs/>
          <w:sz w:val="24"/>
          <w:lang w:eastAsia="zh-CN"/>
        </w:rPr>
        <w:t>四</w:t>
      </w:r>
      <w:r>
        <w:rPr>
          <w:rFonts w:hint="eastAsia" w:ascii="宋体" w:hAnsi="宋体"/>
          <w:b/>
          <w:bCs/>
          <w:sz w:val="24"/>
        </w:rPr>
        <w:t>）业绩一览表（</w:t>
      </w:r>
      <w:r>
        <w:rPr>
          <w:b/>
          <w:bCs/>
          <w:sz w:val="24"/>
        </w:rPr>
        <w:t>2020</w:t>
      </w:r>
      <w:r>
        <w:rPr>
          <w:rFonts w:hint="eastAsia" w:ascii="宋体" w:hAnsi="宋体"/>
          <w:b/>
          <w:bCs/>
          <w:sz w:val="24"/>
        </w:rPr>
        <w:t>年至今）</w:t>
      </w:r>
    </w:p>
    <w:p>
      <w:pPr>
        <w:adjustRightInd w:val="0"/>
        <w:spacing w:line="360" w:lineRule="auto"/>
        <w:rPr>
          <w:rFonts w:ascii="宋体" w:hAnsi="宋体"/>
          <w:bCs/>
          <w:szCs w:val="21"/>
          <w:u w:val="single"/>
        </w:rPr>
      </w:pPr>
      <w:bookmarkStart w:id="15" w:name="_Toc263670132"/>
      <w:bookmarkEnd w:id="15"/>
      <w:r>
        <w:rPr>
          <w:rFonts w:hint="eastAsia" w:ascii="宋体" w:hAnsi="宋体"/>
          <w:kern w:val="0"/>
          <w:szCs w:val="21"/>
        </w:rPr>
        <w:t>同类项目业绩一览表（同一单位为一个数量）</w:t>
      </w:r>
    </w:p>
    <w:tbl>
      <w:tblPr>
        <w:tblStyle w:val="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2340"/>
        <w:gridCol w:w="1260"/>
        <w:gridCol w:w="20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28"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序号</w:t>
            </w:r>
          </w:p>
        </w:tc>
        <w:tc>
          <w:tcPr>
            <w:tcW w:w="162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签约单位名称</w:t>
            </w:r>
          </w:p>
        </w:tc>
        <w:tc>
          <w:tcPr>
            <w:tcW w:w="234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项目内容</w:t>
            </w:r>
          </w:p>
        </w:tc>
        <w:tc>
          <w:tcPr>
            <w:tcW w:w="1260"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b/>
                <w:szCs w:val="21"/>
              </w:rPr>
            </w:pPr>
            <w:r>
              <w:rPr>
                <w:rFonts w:hint="eastAsia" w:ascii="宋体" w:hAnsi="宋体"/>
                <w:b/>
                <w:szCs w:val="21"/>
              </w:rPr>
              <w:t>签约日期</w:t>
            </w:r>
          </w:p>
        </w:tc>
        <w:tc>
          <w:tcPr>
            <w:tcW w:w="2052" w:type="dxa"/>
            <w:tcBorders>
              <w:top w:val="single" w:color="auto" w:sz="12" w:space="0"/>
              <w:left w:val="single" w:color="auto" w:sz="6" w:space="0"/>
              <w:bottom w:val="single" w:color="auto" w:sz="6" w:space="0"/>
              <w:right w:val="single" w:color="auto" w:sz="12" w:space="0"/>
            </w:tcBorders>
            <w:vAlign w:val="center"/>
          </w:tcPr>
          <w:p>
            <w:pPr>
              <w:jc w:val="center"/>
              <w:rPr>
                <w:rFonts w:ascii="宋体" w:hAnsi="宋体"/>
                <w:b/>
                <w:szCs w:val="21"/>
              </w:rPr>
            </w:pPr>
            <w:r>
              <w:rPr>
                <w:rFonts w:hint="eastAsia" w:ascii="宋体" w:hAnsi="宋体"/>
                <w:b/>
                <w:szCs w:val="21"/>
              </w:rPr>
              <w:t>项目负责人及电话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6"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6" w:space="0"/>
              <w:right w:val="single" w:color="auto" w:sz="12" w:space="0"/>
            </w:tcBorders>
            <w:vAlign w:val="center"/>
          </w:tcPr>
          <w:p>
            <w:pPr>
              <w:adjustRightInd w:val="0"/>
              <w:spacing w:line="360" w:lineRule="auto"/>
              <w:jc w:val="center"/>
              <w:rPr>
                <w:rFonts w:ascii="宋体" w:hAnsi="宋体"/>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 w:hRule="atLeast"/>
        </w:trPr>
        <w:tc>
          <w:tcPr>
            <w:tcW w:w="828" w:type="dxa"/>
            <w:tcBorders>
              <w:top w:val="single" w:color="auto" w:sz="6" w:space="0"/>
              <w:left w:val="single" w:color="auto" w:sz="12" w:space="0"/>
              <w:bottom w:val="single" w:color="auto" w:sz="12" w:space="0"/>
              <w:right w:val="single" w:color="auto" w:sz="6" w:space="0"/>
            </w:tcBorders>
            <w:vAlign w:val="center"/>
          </w:tcPr>
          <w:p>
            <w:pPr>
              <w:adjustRightInd w:val="0"/>
              <w:spacing w:line="360" w:lineRule="auto"/>
              <w:rPr>
                <w:rFonts w:ascii="宋体" w:hAnsi="宋体"/>
                <w:bCs/>
                <w:kern w:val="0"/>
                <w:szCs w:val="21"/>
              </w:rPr>
            </w:pPr>
          </w:p>
        </w:tc>
        <w:tc>
          <w:tcPr>
            <w:tcW w:w="162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kern w:val="0"/>
                <w:szCs w:val="21"/>
              </w:rPr>
            </w:pPr>
          </w:p>
        </w:tc>
        <w:tc>
          <w:tcPr>
            <w:tcW w:w="234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kern w:val="0"/>
                <w:szCs w:val="21"/>
              </w:rPr>
            </w:pPr>
          </w:p>
        </w:tc>
        <w:tc>
          <w:tcPr>
            <w:tcW w:w="1260" w:type="dxa"/>
            <w:tcBorders>
              <w:top w:val="single" w:color="auto" w:sz="6" w:space="0"/>
              <w:left w:val="single" w:color="auto" w:sz="6" w:space="0"/>
              <w:bottom w:val="single" w:color="auto" w:sz="12" w:space="0"/>
              <w:right w:val="single" w:color="auto" w:sz="6" w:space="0"/>
            </w:tcBorders>
            <w:vAlign w:val="center"/>
          </w:tcPr>
          <w:p>
            <w:pPr>
              <w:adjustRightInd w:val="0"/>
              <w:spacing w:line="360" w:lineRule="auto"/>
              <w:jc w:val="center"/>
              <w:rPr>
                <w:rFonts w:ascii="宋体" w:hAnsi="宋体"/>
                <w:bCs/>
                <w:kern w:val="0"/>
                <w:szCs w:val="21"/>
              </w:rPr>
            </w:pPr>
          </w:p>
        </w:tc>
        <w:tc>
          <w:tcPr>
            <w:tcW w:w="2052" w:type="dxa"/>
            <w:tcBorders>
              <w:top w:val="single" w:color="auto" w:sz="6" w:space="0"/>
              <w:left w:val="single" w:color="auto" w:sz="6" w:space="0"/>
              <w:bottom w:val="single" w:color="auto" w:sz="12" w:space="0"/>
              <w:right w:val="single" w:color="auto" w:sz="12" w:space="0"/>
            </w:tcBorders>
            <w:vAlign w:val="center"/>
          </w:tcPr>
          <w:p>
            <w:pPr>
              <w:adjustRightInd w:val="0"/>
              <w:spacing w:line="360" w:lineRule="auto"/>
              <w:jc w:val="center"/>
              <w:rPr>
                <w:rFonts w:ascii="宋体" w:hAnsi="宋体"/>
                <w:bCs/>
                <w:kern w:val="0"/>
                <w:szCs w:val="21"/>
              </w:rPr>
            </w:pPr>
          </w:p>
        </w:tc>
      </w:tr>
    </w:tbl>
    <w:p>
      <w:pPr>
        <w:spacing w:beforeLines="50" w:line="360" w:lineRule="auto"/>
        <w:rPr>
          <w:rFonts w:ascii="宋体" w:hAnsi="宋体" w:cs="Courier New"/>
          <w:b/>
          <w:kern w:val="0"/>
          <w:szCs w:val="21"/>
        </w:rPr>
      </w:pPr>
      <w:r>
        <w:rPr>
          <w:rFonts w:hint="eastAsia" w:ascii="宋体" w:hAnsi="宋体" w:cs="Courier New"/>
          <w:b/>
          <w:kern w:val="0"/>
          <w:szCs w:val="21"/>
        </w:rPr>
        <w:t>备注：提供同类项目经验（</w:t>
      </w:r>
      <w:r>
        <w:rPr>
          <w:rFonts w:hint="eastAsia" w:ascii="宋体" w:hAnsi="宋体" w:cs="Courier New"/>
          <w:szCs w:val="21"/>
        </w:rPr>
        <w:t>提供合同复印件</w:t>
      </w:r>
      <w:r>
        <w:rPr>
          <w:rFonts w:hint="eastAsia" w:ascii="宋体" w:hAnsi="宋体" w:cs="Courier New"/>
          <w:szCs w:val="21"/>
          <w:lang w:eastAsia="zh-CN"/>
        </w:rPr>
        <w:t>、</w:t>
      </w:r>
      <w:r>
        <w:rPr>
          <w:rFonts w:hint="eastAsia"/>
          <w:color w:val="000000" w:themeColor="text1"/>
          <w:highlight w:val="none"/>
          <w14:textFill>
            <w14:solidFill>
              <w14:schemeClr w14:val="tx1"/>
            </w14:solidFill>
          </w14:textFill>
        </w:rPr>
        <w:t>业主评价及相关证明材料</w:t>
      </w:r>
      <w:r>
        <w:rPr>
          <w:rFonts w:hint="eastAsia" w:ascii="宋体" w:hAnsi="宋体" w:cs="Courier New"/>
          <w:szCs w:val="21"/>
        </w:rPr>
        <w:t>及项目验收报告并加盖公章）</w:t>
      </w:r>
      <w:r>
        <w:rPr>
          <w:rFonts w:hint="eastAsia" w:ascii="宋体" w:hAnsi="宋体" w:cs="Courier New"/>
          <w:b/>
          <w:kern w:val="0"/>
          <w:szCs w:val="21"/>
        </w:rPr>
        <w:t>。</w:t>
      </w:r>
    </w:p>
    <w:p>
      <w:pPr>
        <w:adjustRightInd w:val="0"/>
        <w:snapToGrid w:val="0"/>
        <w:spacing w:line="30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r>
        <w:rPr>
          <w:rFonts w:hint="eastAsia" w:ascii="宋体" w:hAnsi="宋体"/>
          <w:szCs w:val="21"/>
        </w:rPr>
        <w:t>供应商法定代表人（或法定代表人授权代表）签字（或签字章）：</w:t>
      </w:r>
      <w:r>
        <w:rPr>
          <w:rFonts w:hint="eastAsia" w:ascii="宋体" w:hAnsi="宋体"/>
          <w:szCs w:val="21"/>
          <w:u w:val="single"/>
        </w:rPr>
        <w:t xml:space="preserve">          </w:t>
      </w:r>
    </w:p>
    <w:p>
      <w:pPr>
        <w:adjustRightInd w:val="0"/>
        <w:snapToGrid w:val="0"/>
        <w:spacing w:line="360" w:lineRule="auto"/>
        <w:rPr>
          <w:rFonts w:ascii="宋体" w:hAnsi="宋体"/>
          <w:szCs w:val="21"/>
          <w:u w:val="single"/>
        </w:rPr>
      </w:pPr>
      <w:r>
        <w:rPr>
          <w:rFonts w:hint="eastAsia" w:ascii="宋体" w:hAnsi="宋体"/>
          <w:szCs w:val="21"/>
        </w:rPr>
        <w:t>供应商名称（签章）：</w:t>
      </w:r>
      <w:r>
        <w:rPr>
          <w:rFonts w:hint="eastAsia" w:ascii="宋体" w:hAnsi="宋体"/>
          <w:szCs w:val="21"/>
          <w:u w:val="single"/>
        </w:rPr>
        <w:t xml:space="preserve">            </w:t>
      </w:r>
    </w:p>
    <w:p>
      <w:pPr>
        <w:adjustRightInd w:val="0"/>
        <w:snapToGrid w:val="0"/>
        <w:spacing w:line="360" w:lineRule="auto"/>
        <w:rPr>
          <w:rFonts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840"/>
        </w:tabs>
        <w:spacing w:line="360" w:lineRule="auto"/>
        <w:ind w:left="420" w:right="481" w:rightChars="229"/>
        <w:rPr>
          <w:rFonts w:ascii="宋体" w:hAnsi="宋体"/>
          <w:sz w:val="24"/>
        </w:rPr>
      </w:pPr>
      <w:r>
        <w:rPr>
          <w:rFonts w:hint="eastAsia" w:ascii="宋体" w:hAnsi="宋体"/>
          <w:szCs w:val="21"/>
        </w:rPr>
        <w:t>（</w:t>
      </w:r>
    </w:p>
    <w:p/>
    <w:p>
      <w:pPr>
        <w:jc w:val="center"/>
        <w:rPr>
          <w:rFonts w:hint="eastAsia"/>
          <w:b/>
          <w:bCs/>
          <w:color w:val="000000" w:themeColor="text1"/>
          <w:sz w:val="30"/>
          <w:szCs w:val="30"/>
          <w:highlight w:val="none"/>
          <w:lang w:val="en-US" w:eastAsia="zh-CN"/>
          <w14:textFill>
            <w14:solidFill>
              <w14:schemeClr w14:val="tx1"/>
            </w14:solidFill>
          </w14:textFill>
        </w:rPr>
      </w:pPr>
      <w:r>
        <w:rPr>
          <w:rFonts w:hint="eastAsia"/>
          <w:b/>
          <w:bCs/>
          <w:color w:val="000000" w:themeColor="text1"/>
          <w:sz w:val="30"/>
          <w:szCs w:val="30"/>
          <w:highlight w:val="none"/>
          <w:lang w:val="en-US" w:eastAsia="zh-CN"/>
          <w14:textFill>
            <w14:solidFill>
              <w14:schemeClr w14:val="tx1"/>
            </w14:solidFill>
          </w14:textFill>
        </w:rPr>
        <w:t>第三章 评分标准</w:t>
      </w:r>
    </w:p>
    <w:p>
      <w:pPr>
        <w:numPr>
          <w:ilvl w:val="0"/>
          <w:numId w:val="0"/>
        </w:numPr>
        <w:rPr>
          <w:rFonts w:hint="default"/>
          <w:color w:val="000000" w:themeColor="text1"/>
          <w:highlight w:val="none"/>
          <w:lang w:val="en-US" w:eastAsia="zh-CN"/>
          <w14:textFill>
            <w14:solidFill>
              <w14:schemeClr w14:val="tx1"/>
            </w14:solidFill>
          </w14:textFill>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评审因素</w:t>
            </w:r>
          </w:p>
        </w:tc>
        <w:tc>
          <w:tcPr>
            <w:tcW w:w="7383" w:type="dxa"/>
            <w:gridSpan w:val="2"/>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6" w:hRule="atLeast"/>
        </w:trPr>
        <w:tc>
          <w:tcPr>
            <w:tcW w:w="922" w:type="dxa"/>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分值构成</w:t>
            </w:r>
          </w:p>
        </w:tc>
        <w:tc>
          <w:tcPr>
            <w:tcW w:w="7383" w:type="dxa"/>
            <w:gridSpan w:val="2"/>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0.0分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w:t>
            </w:r>
            <w:r>
              <w:rPr>
                <w:rFonts w:hint="eastAsia"/>
                <w:color w:val="000000" w:themeColor="text1"/>
                <w:highlight w:val="none"/>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.0分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报价得分</w:t>
            </w:r>
            <w:r>
              <w:rPr>
                <w:rFonts w:hint="eastAsia"/>
                <w:color w:val="000000" w:themeColor="text1"/>
                <w:highlight w:val="none"/>
                <w:lang w:val="en-US" w:eastAsia="zh-CN"/>
                <w14:textFill>
                  <w14:solidFill>
                    <w14:schemeClr w14:val="tx1"/>
                  </w14:solidFill>
                </w14:textFill>
              </w:rPr>
              <w:t>30</w:t>
            </w:r>
            <w:r>
              <w:rPr>
                <w:color w:val="000000" w:themeColor="text1"/>
                <w:highlight w:val="none"/>
                <w14:textFill>
                  <w14:solidFill>
                    <w14:schemeClr w14:val="tx1"/>
                  </w14:solidFill>
                </w14:textFill>
              </w:rPr>
              <w:t>.0分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194" w:hRule="atLeast"/>
        </w:trPr>
        <w:tc>
          <w:tcPr>
            <w:tcW w:w="922" w:type="dxa"/>
            <w:vMerge w:val="restart"/>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w:t>
            </w:r>
          </w:p>
        </w:tc>
        <w:tc>
          <w:tcPr>
            <w:tcW w:w="2307" w:type="dxa"/>
            <w:vMerge w:val="restart"/>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空气过滤器技术参数响应程度</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0分)</w:t>
            </w:r>
          </w:p>
        </w:tc>
        <w:tc>
          <w:tcPr>
            <w:tcW w:w="5076" w:type="dxa"/>
            <w:vAlign w:val="center"/>
          </w:tcPr>
          <w:p>
            <w:pPr>
              <w:rPr>
                <w:color w:val="auto"/>
                <w:highlight w:val="none"/>
              </w:rPr>
            </w:pPr>
            <w:r>
              <w:rPr>
                <w:color w:val="auto"/>
                <w:highlight w:val="none"/>
              </w:rPr>
              <w:t>根据</w:t>
            </w:r>
            <w:r>
              <w:rPr>
                <w:rFonts w:hint="eastAsia"/>
                <w:color w:val="auto"/>
                <w:highlight w:val="none"/>
                <w:lang w:eastAsia="zh-CN"/>
              </w:rPr>
              <w:t>响应</w:t>
            </w:r>
            <w:r>
              <w:rPr>
                <w:color w:val="auto"/>
                <w:highlight w:val="none"/>
              </w:rPr>
              <w:t>人对</w:t>
            </w:r>
            <w:r>
              <w:rPr>
                <w:rFonts w:hint="eastAsia"/>
                <w:color w:val="auto"/>
                <w:highlight w:val="none"/>
                <w:lang w:eastAsia="zh-CN"/>
              </w:rPr>
              <w:t>响应文件</w:t>
            </w:r>
            <w:r>
              <w:rPr>
                <w:rFonts w:hint="eastAsia"/>
                <w:color w:val="auto"/>
                <w:highlight w:val="none"/>
              </w:rPr>
              <w:t>第二章采购需求“三、各规格空气过滤器技术参数及要求：</w:t>
            </w:r>
            <w:r>
              <w:rPr>
                <w:rFonts w:hint="eastAsia" w:ascii="宋体" w:hAnsi="宋体" w:eastAsia="宋体" w:cs="宋体"/>
                <w:b w:val="0"/>
                <w:bCs w:val="0"/>
                <w:color w:val="auto"/>
                <w:szCs w:val="21"/>
              </w:rPr>
              <w:t>折叠式</w:t>
            </w:r>
            <w:r>
              <w:rPr>
                <w:rFonts w:hint="eastAsia" w:ascii="宋体" w:hAnsi="宋体" w:eastAsia="宋体" w:cs="宋体"/>
                <w:b w:val="0"/>
                <w:bCs w:val="0"/>
                <w:color w:val="auto"/>
                <w:szCs w:val="21"/>
                <w:lang w:val="en-US" w:eastAsia="zh-CN"/>
              </w:rPr>
              <w:t>初效</w:t>
            </w:r>
            <w:r>
              <w:rPr>
                <w:rFonts w:hint="eastAsia" w:ascii="宋体" w:hAnsi="宋体" w:eastAsia="宋体" w:cs="宋体"/>
                <w:b w:val="0"/>
                <w:bCs w:val="0"/>
                <w:color w:val="auto"/>
                <w:szCs w:val="21"/>
              </w:rPr>
              <w:t>过滤器</w:t>
            </w:r>
            <w:r>
              <w:rPr>
                <w:rFonts w:hint="eastAsia"/>
                <w:color w:val="auto"/>
                <w:highlight w:val="none"/>
              </w:rPr>
              <w:t>、</w:t>
            </w:r>
            <w:r>
              <w:rPr>
                <w:rFonts w:hint="eastAsia"/>
                <w:color w:val="auto"/>
                <w:highlight w:val="none"/>
                <w:lang w:val="en-US" w:eastAsia="zh-CN"/>
              </w:rPr>
              <w:t>袋式中效过滤器、大风量亚高效过滤器、</w:t>
            </w:r>
            <w:r>
              <w:rPr>
                <w:rFonts w:hint="eastAsia" w:ascii="宋体" w:hAnsi="宋体" w:eastAsia="宋体" w:cs="宋体"/>
                <w:color w:val="auto"/>
                <w:szCs w:val="21"/>
                <w:highlight w:val="none"/>
              </w:rPr>
              <w:t>大风量高效过滤器、</w:t>
            </w:r>
            <w:r>
              <w:rPr>
                <w:rFonts w:hint="eastAsia"/>
                <w:color w:val="auto"/>
                <w:highlight w:val="none"/>
              </w:rPr>
              <w:t>”</w:t>
            </w:r>
            <w:r>
              <w:rPr>
                <w:rFonts w:hint="eastAsia"/>
                <w:color w:val="auto"/>
                <w:highlight w:val="none"/>
                <w:lang w:val="en-US" w:eastAsia="zh-CN"/>
              </w:rPr>
              <w:t>四</w:t>
            </w:r>
            <w:r>
              <w:rPr>
                <w:rFonts w:hint="eastAsia"/>
                <w:color w:val="auto"/>
                <w:highlight w:val="none"/>
              </w:rPr>
              <w:t>个产品</w:t>
            </w:r>
            <w:r>
              <w:rPr>
                <w:color w:val="auto"/>
                <w:highlight w:val="none"/>
              </w:rPr>
              <w:t xml:space="preserve">的响应程度进行评审： </w:t>
            </w:r>
          </w:p>
          <w:p>
            <w:pPr>
              <w:rPr>
                <w:color w:val="auto"/>
                <w:highlight w:val="none"/>
              </w:rPr>
            </w:pPr>
            <w:r>
              <w:rPr>
                <w:rFonts w:hint="eastAsia"/>
                <w:color w:val="auto"/>
                <w:highlight w:val="none"/>
              </w:rPr>
              <w:t>每一个产品的参数完全满足技术参数要求，得</w:t>
            </w:r>
            <w:r>
              <w:rPr>
                <w:rFonts w:hint="eastAsia"/>
                <w:color w:val="auto"/>
                <w:highlight w:val="none"/>
                <w:lang w:val="en-US" w:eastAsia="zh-CN"/>
              </w:rPr>
              <w:t>2</w:t>
            </w:r>
            <w:r>
              <w:rPr>
                <w:rFonts w:hint="eastAsia"/>
                <w:color w:val="auto"/>
                <w:highlight w:val="none"/>
              </w:rPr>
              <w:t>分，最高得</w:t>
            </w:r>
            <w:r>
              <w:rPr>
                <w:rFonts w:hint="eastAsia"/>
                <w:color w:val="auto"/>
                <w:highlight w:val="none"/>
                <w:lang w:val="en-US" w:eastAsia="zh-CN"/>
              </w:rPr>
              <w:t>8</w:t>
            </w:r>
            <w:r>
              <w:rPr>
                <w:rFonts w:hint="eastAsia"/>
                <w:color w:val="auto"/>
                <w:highlight w:val="none"/>
              </w:rPr>
              <w:t>分。</w:t>
            </w:r>
          </w:p>
          <w:p>
            <w:pPr>
              <w:rPr>
                <w:color w:val="auto"/>
                <w:highlight w:val="none"/>
              </w:rPr>
            </w:pPr>
            <w:r>
              <w:rPr>
                <w:rFonts w:hint="eastAsia"/>
                <w:color w:val="auto"/>
                <w:highlight w:val="none"/>
              </w:rPr>
              <w:t>（须提供产品彩页或厂家使用说明书或检验检测报告或出厂合格证等证明材料，加盖</w:t>
            </w:r>
            <w:r>
              <w:rPr>
                <w:rFonts w:hint="eastAsia"/>
                <w:color w:val="auto"/>
                <w:highlight w:val="none"/>
                <w:lang w:eastAsia="zh-CN"/>
              </w:rPr>
              <w:t>响应</w:t>
            </w:r>
            <w:r>
              <w:rPr>
                <w:rFonts w:hint="eastAsia"/>
                <w:color w:val="auto"/>
                <w:highlight w:val="none"/>
              </w:rPr>
              <w:t>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2" w:hRule="atLeast"/>
        </w:trPr>
        <w:tc>
          <w:tcPr>
            <w:tcW w:w="922" w:type="dxa"/>
            <w:vMerge w:val="continue"/>
          </w:tcPr>
          <w:p>
            <w:pPr>
              <w:rPr>
                <w:color w:val="000000" w:themeColor="text1"/>
                <w:highlight w:val="none"/>
                <w14:textFill>
                  <w14:solidFill>
                    <w14:schemeClr w14:val="tx1"/>
                  </w14:solidFill>
                </w14:textFill>
              </w:rPr>
            </w:pPr>
          </w:p>
        </w:tc>
        <w:tc>
          <w:tcPr>
            <w:tcW w:w="2307"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拟投入过滤器安装检测设备</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.0分)</w:t>
            </w:r>
          </w:p>
        </w:tc>
        <w:tc>
          <w:tcPr>
            <w:tcW w:w="5076" w:type="dxa"/>
            <w:vAlign w:val="center"/>
          </w:tcPr>
          <w:p>
            <w:pP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w:t>
            </w:r>
            <w:r>
              <w:rPr>
                <w:rFonts w:hint="eastAsia"/>
                <w:color w:val="000000" w:themeColor="text1"/>
                <w:highlight w:val="none"/>
                <w14:textFill>
                  <w14:solidFill>
                    <w14:schemeClr w14:val="tx1"/>
                  </w14:solidFill>
                </w14:textFill>
              </w:rPr>
              <w:t>人拟投入过滤器安装检测设备情况：</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提供安装检测仪器（风速仪）得 1分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提供安装检测仪器（压差表）得1分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提供安装检测仪器（尘埃粒子计数器）得1分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最高得3分，没有或不提供相关证明文件的得0分。(须提供设备有效的购买发票或购买合同或租赁合同复印件</w:t>
            </w:r>
            <w:r>
              <w:rPr>
                <w:color w:val="000000" w:themeColor="text1"/>
                <w:highlight w:val="none"/>
                <w14:textFill>
                  <w14:solidFill>
                    <w14:schemeClr w14:val="tx1"/>
                  </w14:solidFill>
                </w14:textFill>
              </w:rPr>
              <w:t>，加盖</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人公章。</w:t>
            </w:r>
            <w:r>
              <w:rPr>
                <w:rFonts w:hint="eastAsia"/>
                <w:color w:val="000000" w:themeColor="text1"/>
                <w:highlight w:val="none"/>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2" w:hRule="atLeast"/>
        </w:trPr>
        <w:tc>
          <w:tcPr>
            <w:tcW w:w="922" w:type="dxa"/>
            <w:vMerge w:val="continue"/>
          </w:tcPr>
          <w:p>
            <w:pPr>
              <w:rPr>
                <w:color w:val="000000" w:themeColor="text1"/>
                <w:highlight w:val="none"/>
                <w14:textFill>
                  <w14:solidFill>
                    <w14:schemeClr w14:val="tx1"/>
                  </w14:solidFill>
                </w14:textFill>
              </w:rPr>
            </w:pPr>
          </w:p>
        </w:tc>
        <w:tc>
          <w:tcPr>
            <w:tcW w:w="2307"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拟投入团队人员（1</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.0分）</w:t>
            </w:r>
          </w:p>
        </w:tc>
        <w:tc>
          <w:tcPr>
            <w:tcW w:w="5076" w:type="dxa"/>
            <w:vAlign w:val="center"/>
          </w:tcPr>
          <w:p>
            <w:pPr>
              <w:numPr>
                <w:ilvl w:val="0"/>
                <w:numId w:val="6"/>
              </w:numP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拟投入项目经理（仅限一人）具有</w:t>
            </w:r>
            <w:r>
              <w:rPr>
                <w:rFonts w:hint="eastAsia" w:ascii="宋体" w:hAnsi="宋体" w:eastAsia="宋体" w:cs="宋体"/>
                <w:bCs/>
                <w:color w:val="000000" w:themeColor="text1"/>
                <w:szCs w:val="21"/>
                <w:highlight w:val="none"/>
                <w14:textFill>
                  <w14:solidFill>
                    <w14:schemeClr w14:val="tx1"/>
                  </w14:solidFill>
                </w14:textFill>
              </w:rPr>
              <w:t>机电类中级工程师或以上职称，得</w:t>
            </w:r>
            <w:r>
              <w:rPr>
                <w:rFonts w:hint="eastAsia" w:ascii="宋体" w:hAnsi="宋体" w:eastAsia="宋体" w:cs="宋体"/>
                <w:bCs/>
                <w:color w:val="000000" w:themeColor="text1"/>
                <w:szCs w:val="21"/>
                <w:highlight w:val="none"/>
                <w:lang w:val="en-US" w:eastAsia="zh-CN"/>
                <w14:textFill>
                  <w14:solidFill>
                    <w14:schemeClr w14:val="tx1"/>
                  </w14:solidFill>
                </w14:textFill>
              </w:rPr>
              <w:t>2</w:t>
            </w:r>
            <w:r>
              <w:rPr>
                <w:rFonts w:hint="eastAsia" w:ascii="宋体" w:hAnsi="宋体" w:eastAsia="宋体" w:cs="宋体"/>
                <w:bCs/>
                <w:color w:val="000000" w:themeColor="text1"/>
                <w:szCs w:val="21"/>
                <w:highlight w:val="none"/>
                <w14:textFill>
                  <w14:solidFill>
                    <w14:schemeClr w14:val="tx1"/>
                  </w14:solidFill>
                </w14:textFill>
              </w:rPr>
              <w:t>分。</w:t>
            </w:r>
          </w:p>
          <w:p>
            <w:pP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须提供证书复印件</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截止时间前6个月任意1个月由</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人单位缴纳社保的证明材料，</w:t>
            </w:r>
            <w:r>
              <w:rPr>
                <w:rFonts w:hint="eastAsia"/>
                <w:color w:val="000000" w:themeColor="text1"/>
                <w:highlight w:val="none"/>
                <w:lang w:val="en-US" w:eastAsia="zh-CN"/>
                <w14:textFill>
                  <w14:solidFill>
                    <w14:schemeClr w14:val="tx1"/>
                  </w14:solidFill>
                </w14:textFill>
              </w:rPr>
              <w:t>受聘合同文件或其他证明文件、</w:t>
            </w:r>
            <w:r>
              <w:rPr>
                <w:color w:val="000000" w:themeColor="text1"/>
                <w:highlight w:val="none"/>
                <w14:textFill>
                  <w14:solidFill>
                    <w14:schemeClr w14:val="tx1"/>
                  </w14:solidFill>
                </w14:textFill>
              </w:rPr>
              <w:t>加盖</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人公章。</w:t>
            </w:r>
            <w:r>
              <w:rPr>
                <w:rFonts w:hint="eastAsia" w:ascii="宋体" w:hAnsi="宋体" w:eastAsia="宋体" w:cs="宋体"/>
                <w:bCs/>
                <w:color w:val="000000" w:themeColor="text1"/>
                <w:szCs w:val="21"/>
                <w:highlight w:val="none"/>
                <w14:textFill>
                  <w14:solidFill>
                    <w14:schemeClr w14:val="tx1"/>
                  </w14:solidFill>
                </w14:textFill>
              </w:rPr>
              <w:t>）</w:t>
            </w:r>
          </w:p>
          <w:p>
            <w:pPr>
              <w:numPr>
                <w:ilvl w:val="0"/>
                <w:numId w:val="6"/>
              </w:numP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拟投入团队成员中（项目经理除外），</w:t>
            </w:r>
            <w:r>
              <w:rPr>
                <w:rFonts w:hint="eastAsia" w:ascii="宋体" w:hAnsi="宋体" w:eastAsia="宋体" w:cs="宋体"/>
                <w:bCs/>
                <w:color w:val="000000" w:themeColor="text1"/>
                <w:szCs w:val="21"/>
                <w:highlight w:val="none"/>
                <w14:textFill>
                  <w14:solidFill>
                    <w14:schemeClr w14:val="tx1"/>
                  </w14:solidFill>
                </w14:textFill>
              </w:rPr>
              <w:t>具有《特种作业操作证》（作业类别：制冷与空调作业</w:t>
            </w:r>
            <w:r>
              <w:rPr>
                <w:rFonts w:hint="eastAsia" w:ascii="宋体" w:hAnsi="宋体" w:eastAsia="宋体" w:cs="宋体"/>
                <w:bCs/>
                <w:color w:val="000000" w:themeColor="text1"/>
                <w:szCs w:val="21"/>
                <w:highlight w:val="none"/>
                <w:lang w:eastAsia="zh-CN"/>
                <w14:textFill>
                  <w14:solidFill>
                    <w14:schemeClr w14:val="tx1"/>
                  </w14:solidFill>
                </w14:textFill>
              </w:rPr>
              <w:t>、</w:t>
            </w:r>
            <w:r>
              <w:rPr>
                <w:rFonts w:hint="eastAsia" w:ascii="宋体" w:hAnsi="宋体" w:eastAsia="宋体" w:cs="宋体"/>
                <w:bCs/>
                <w:color w:val="000000" w:themeColor="text1"/>
                <w:szCs w:val="21"/>
                <w:highlight w:val="none"/>
                <w:lang w:val="en-US" w:eastAsia="zh-CN"/>
                <w14:textFill>
                  <w14:solidFill>
                    <w14:schemeClr w14:val="tx1"/>
                  </w14:solidFill>
                </w14:textFill>
              </w:rPr>
              <w:t>电工作业</w:t>
            </w:r>
            <w:r>
              <w:rPr>
                <w:rFonts w:hint="eastAsia" w:ascii="宋体" w:hAnsi="宋体" w:eastAsia="宋体" w:cs="宋体"/>
                <w:bCs/>
                <w:color w:val="000000" w:themeColor="text1"/>
                <w:szCs w:val="21"/>
                <w:highlight w:val="none"/>
                <w14:textFill>
                  <w14:solidFill>
                    <w14:schemeClr w14:val="tx1"/>
                  </w14:solidFill>
                </w14:textFill>
              </w:rPr>
              <w:t>）资质，每</w:t>
            </w:r>
            <w:r>
              <w:rPr>
                <w:rFonts w:hint="eastAsia" w:ascii="宋体" w:hAnsi="宋体" w:eastAsia="宋体" w:cs="宋体"/>
                <w:bCs/>
                <w:color w:val="000000" w:themeColor="text1"/>
                <w:szCs w:val="21"/>
                <w:highlight w:val="none"/>
                <w:lang w:val="en-US" w:eastAsia="zh-CN"/>
                <w14:textFill>
                  <w14:solidFill>
                    <w14:schemeClr w14:val="tx1"/>
                  </w14:solidFill>
                </w14:textFill>
              </w:rPr>
              <w:t>1</w:t>
            </w:r>
            <w:r>
              <w:rPr>
                <w:rFonts w:hint="eastAsia" w:ascii="宋体" w:hAnsi="宋体" w:eastAsia="宋体" w:cs="宋体"/>
                <w:bCs/>
                <w:color w:val="000000" w:themeColor="text1"/>
                <w:szCs w:val="21"/>
                <w:highlight w:val="none"/>
                <w14:textFill>
                  <w14:solidFill>
                    <w14:schemeClr w14:val="tx1"/>
                  </w14:solidFill>
                </w14:textFill>
              </w:rPr>
              <w:t>人得</w:t>
            </w:r>
            <w:r>
              <w:rPr>
                <w:rFonts w:hint="eastAsia" w:ascii="宋体" w:hAnsi="宋体" w:eastAsia="宋体" w:cs="宋体"/>
                <w:bCs/>
                <w:color w:val="000000" w:themeColor="text1"/>
                <w:szCs w:val="21"/>
                <w:highlight w:val="none"/>
                <w:lang w:val="en-US" w:eastAsia="zh-CN"/>
                <w14:textFill>
                  <w14:solidFill>
                    <w14:schemeClr w14:val="tx1"/>
                  </w14:solidFill>
                </w14:textFill>
              </w:rPr>
              <w:t>1.5</w:t>
            </w:r>
            <w:r>
              <w:rPr>
                <w:rFonts w:hint="eastAsia" w:ascii="宋体" w:hAnsi="宋体" w:eastAsia="宋体" w:cs="宋体"/>
                <w:bCs/>
                <w:color w:val="000000" w:themeColor="text1"/>
                <w:szCs w:val="21"/>
                <w:highlight w:val="none"/>
                <w14:textFill>
                  <w14:solidFill>
                    <w14:schemeClr w14:val="tx1"/>
                  </w14:solidFill>
                </w14:textFill>
              </w:rPr>
              <w:t>分，最高得</w:t>
            </w:r>
            <w:r>
              <w:rPr>
                <w:rFonts w:hint="eastAsia" w:ascii="宋体" w:hAnsi="宋体" w:eastAsia="宋体" w:cs="宋体"/>
                <w:bCs/>
                <w:color w:val="000000" w:themeColor="text1"/>
                <w:szCs w:val="21"/>
                <w:highlight w:val="none"/>
                <w:lang w:val="en-US" w:eastAsia="zh-CN"/>
                <w14:textFill>
                  <w14:solidFill>
                    <w14:schemeClr w14:val="tx1"/>
                  </w14:solidFill>
                </w14:textFill>
              </w:rPr>
              <w:t>9</w:t>
            </w:r>
            <w:r>
              <w:rPr>
                <w:rFonts w:hint="eastAsia" w:ascii="宋体" w:hAnsi="宋体" w:eastAsia="宋体" w:cs="宋体"/>
                <w:bCs/>
                <w:color w:val="000000" w:themeColor="text1"/>
                <w:szCs w:val="21"/>
                <w:highlight w:val="none"/>
                <w14:textFill>
                  <w14:solidFill>
                    <w14:schemeClr w14:val="tx1"/>
                  </w14:solidFill>
                </w14:textFill>
              </w:rPr>
              <w:t>分。</w:t>
            </w:r>
          </w:p>
          <w:p>
            <w:pPr>
              <w:rPr>
                <w:rFonts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w:t>
            </w:r>
            <w:r>
              <w:rPr>
                <w:color w:val="000000" w:themeColor="text1"/>
                <w:highlight w:val="none"/>
                <w14:textFill>
                  <w14:solidFill>
                    <w14:schemeClr w14:val="tx1"/>
                  </w14:solidFill>
                </w14:textFill>
              </w:rPr>
              <w:t>须提供证书复印件</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截止时间前6个月任意1个月由</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人单位缴纳社保的证明材料，加盖</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人公章。</w:t>
            </w:r>
            <w:r>
              <w:rPr>
                <w:rFonts w:hint="eastAsia" w:ascii="宋体" w:hAnsi="宋体" w:eastAsia="宋体" w:cs="宋体"/>
                <w:bCs/>
                <w:color w:val="000000" w:themeColor="text1"/>
                <w:szCs w:val="21"/>
                <w:highlight w:val="none"/>
                <w14:textFill>
                  <w14:solidFill>
                    <w14:schemeClr w14:val="tx1"/>
                  </w14:solidFill>
                </w14:textFill>
              </w:rPr>
              <w:t>）</w:t>
            </w:r>
          </w:p>
          <w:p>
            <w:pPr>
              <w:rPr>
                <w:rFonts w:ascii="宋体" w:hAnsi="宋体" w:eastAsia="宋体" w:cs="宋体"/>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产品可靠性</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.0分)</w:t>
            </w:r>
          </w:p>
        </w:tc>
        <w:tc>
          <w:tcPr>
            <w:tcW w:w="5076" w:type="dxa"/>
            <w:vAlign w:val="center"/>
          </w:tcPr>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技术水平在同类产品中领先，技术成熟性、设备可靠性强，明显优于同类产品的得</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技术水平在同类产品中属于中等，技术成熟性、设备可靠性</w:t>
            </w:r>
            <w:r>
              <w:rPr>
                <w:rFonts w:hint="eastAsia"/>
                <w:color w:val="000000" w:themeColor="text1"/>
                <w:highlight w:val="none"/>
                <w14:textFill>
                  <w14:solidFill>
                    <w14:schemeClr w14:val="tx1"/>
                  </w14:solidFill>
                </w14:textFill>
              </w:rPr>
              <w:t>较</w:t>
            </w:r>
            <w:r>
              <w:rPr>
                <w:color w:val="000000" w:themeColor="text1"/>
                <w:highlight w:val="none"/>
                <w14:textFill>
                  <w14:solidFill>
                    <w14:schemeClr w14:val="tx1"/>
                  </w14:solidFill>
                </w14:textFill>
              </w:rPr>
              <w:t>好的得</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技术水平在同类产品中较落后，技术成熟性、设备可靠性</w:t>
            </w:r>
            <w:r>
              <w:rPr>
                <w:rFonts w:hint="eastAsia"/>
                <w:color w:val="000000" w:themeColor="text1"/>
                <w:highlight w:val="none"/>
                <w14:textFill>
                  <w14:solidFill>
                    <w14:schemeClr w14:val="tx1"/>
                  </w14:solidFill>
                </w14:textFill>
              </w:rPr>
              <w:t>一般</w:t>
            </w:r>
            <w:r>
              <w:rPr>
                <w:color w:val="000000" w:themeColor="text1"/>
                <w:highlight w:val="none"/>
                <w14:textFill>
                  <w14:solidFill>
                    <w14:schemeClr w14:val="tx1"/>
                  </w14:solidFill>
                </w14:textFill>
              </w:rPr>
              <w:t>的得</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技术水平在同类产品中较落后，技术成熟性、设备可靠性差的得</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无或者不提供不得分。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安装服务方案（</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.0分）</w:t>
            </w:r>
          </w:p>
        </w:tc>
        <w:tc>
          <w:tcPr>
            <w:tcW w:w="5076"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color w:val="000000" w:themeColor="text1"/>
                <w:highlight w:val="none"/>
                <w:lang w:eastAsia="zh-CN"/>
                <w14:textFill>
                  <w14:solidFill>
                    <w14:schemeClr w14:val="tx1"/>
                  </w14:solidFill>
                </w14:textFill>
              </w:rPr>
              <w:t>响应</w:t>
            </w:r>
            <w:r>
              <w:rPr>
                <w:rFonts w:hint="eastAsia"/>
                <w:color w:val="000000" w:themeColor="text1"/>
                <w:highlight w:val="none"/>
                <w14:textFill>
                  <w14:solidFill>
                    <w14:schemeClr w14:val="tx1"/>
                  </w14:solidFill>
                </w14:textFill>
              </w:rPr>
              <w:t>人提供的安装服务方案（包括但不限于进入洁净区人员着装方案、过滤器更换方案、检测方案等）进行评审：</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安装调试及验收方案具体、详细、可行，有利于项目实施的得</w:t>
            </w:r>
            <w:r>
              <w:rPr>
                <w:rFonts w:hint="eastAsia"/>
                <w:color w:val="000000" w:themeColor="text1"/>
                <w:highlight w:val="none"/>
                <w:lang w:val="en-US" w:eastAsia="zh-CN"/>
                <w14:textFill>
                  <w14:solidFill>
                    <w14:schemeClr w14:val="tx1"/>
                  </w14:solidFill>
                </w14:textFill>
              </w:rPr>
              <w:t>12</w:t>
            </w:r>
            <w:r>
              <w:rPr>
                <w:color w:val="000000" w:themeColor="text1"/>
                <w:highlight w:val="none"/>
                <w14:textFill>
                  <w14:solidFill>
                    <w14:schemeClr w14:val="tx1"/>
                  </w14:solidFill>
                </w14:textFill>
              </w:rPr>
              <w:t xml:space="preserve">分；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安装调试及验收方案较具体、较详细、可行，较有利于项目实施的得</w:t>
            </w:r>
            <w:r>
              <w:rPr>
                <w:rFonts w:hint="eastAsia"/>
                <w:color w:val="000000" w:themeColor="text1"/>
                <w:highlight w:val="none"/>
                <w:lang w:val="en-US" w:eastAsia="zh-CN"/>
                <w14:textFill>
                  <w14:solidFill>
                    <w14:schemeClr w14:val="tx1"/>
                  </w14:solidFill>
                </w14:textFill>
              </w:rPr>
              <w:t>9</w:t>
            </w:r>
            <w:r>
              <w:rPr>
                <w:color w:val="000000" w:themeColor="text1"/>
                <w:highlight w:val="none"/>
                <w14:textFill>
                  <w14:solidFill>
                    <w14:schemeClr w14:val="tx1"/>
                  </w14:solidFill>
                </w14:textFill>
              </w:rPr>
              <w:t xml:space="preserve">分；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安装调试及验收方案一般、较详细、可行性一般，利于项目实施的得</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 xml:space="preserve">分； </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安装调试及验收方案差、不详细、可行性差，不利于项目实施的得</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应急服务方案</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0分)</w:t>
            </w:r>
          </w:p>
        </w:tc>
        <w:tc>
          <w:tcPr>
            <w:tcW w:w="5076"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w:t>
            </w:r>
            <w:r>
              <w:rPr>
                <w:rFonts w:hint="eastAsia"/>
                <w:color w:val="000000" w:themeColor="text1"/>
                <w:highlight w:val="none"/>
                <w:lang w:eastAsia="zh-CN"/>
                <w14:textFill>
                  <w14:solidFill>
                    <w14:schemeClr w14:val="tx1"/>
                  </w14:solidFill>
                </w14:textFill>
              </w:rPr>
              <w:t>响应</w:t>
            </w:r>
            <w:r>
              <w:rPr>
                <w:rFonts w:hint="eastAsia"/>
                <w:color w:val="000000" w:themeColor="text1"/>
                <w:highlight w:val="none"/>
                <w14:textFill>
                  <w14:solidFill>
                    <w14:schemeClr w14:val="tx1"/>
                  </w14:solidFill>
                </w14:textFill>
              </w:rPr>
              <w:t>人提供的应急服务方案（包括但不限于应急服务范围、应急服务响应时间、应急服务保证措施、</w:t>
            </w:r>
            <w:r>
              <w:rPr>
                <w:rFonts w:hint="eastAsia" w:ascii="宋体" w:hAnsi="宋体" w:eastAsia="宋体" w:cs="宋体"/>
                <w:bCs/>
                <w:color w:val="000000" w:themeColor="text1"/>
                <w:szCs w:val="21"/>
                <w:highlight w:val="none"/>
                <w14:textFill>
                  <w14:solidFill>
                    <w14:schemeClr w14:val="tx1"/>
                  </w14:solidFill>
                </w14:textFill>
              </w:rPr>
              <w:t>重大疫情</w:t>
            </w:r>
            <w:r>
              <w:rPr>
                <w:rFonts w:hint="eastAsia"/>
                <w:color w:val="000000" w:themeColor="text1"/>
                <w:highlight w:val="none"/>
                <w14:textFill>
                  <w14:solidFill>
                    <w14:schemeClr w14:val="tx1"/>
                  </w14:solidFill>
                </w14:textFill>
              </w:rPr>
              <w:t>服务措施等）进行评审：</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应急服务方案完全结合实际，具体，针对性好得</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应急抢修服务方案大部分结合实际，较具体，有一定的针对性得</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应急抢修服务方案部分结合实际，不够具体，针对性一般得</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应急抢修服务方案不符合实际</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不够具体</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针对性差得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无或其它不得分。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w:t>
            </w:r>
          </w:p>
        </w:tc>
        <w:tc>
          <w:tcPr>
            <w:tcW w:w="2307" w:type="dxa"/>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同类项目业绩</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w:t>
            </w:r>
            <w:r>
              <w:rPr>
                <w:color w:val="000000" w:themeColor="text1"/>
                <w:highlight w:val="none"/>
                <w14:textFill>
                  <w14:solidFill>
                    <w14:schemeClr w14:val="tx1"/>
                  </w14:solidFill>
                </w14:textFill>
              </w:rPr>
              <w:t>.0分)</w:t>
            </w:r>
          </w:p>
        </w:tc>
        <w:tc>
          <w:tcPr>
            <w:tcW w:w="5076" w:type="dxa"/>
            <w:vAlign w:val="center"/>
          </w:tcPr>
          <w:p>
            <w:pP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w:t>
            </w:r>
            <w:r>
              <w:rPr>
                <w:rFonts w:hint="eastAsia"/>
                <w:color w:val="000000" w:themeColor="text1"/>
                <w:highlight w:val="none"/>
                <w14:textFill>
                  <w14:solidFill>
                    <w14:schemeClr w14:val="tx1"/>
                  </w14:solidFill>
                </w14:textFill>
              </w:rPr>
              <w:t>人提供20</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年以来同类项目业绩</w:t>
            </w:r>
            <w:r>
              <w:rPr>
                <w:rFonts w:hint="eastAsia"/>
                <w:color w:val="000000" w:themeColor="text1"/>
                <w:highlight w:val="none"/>
                <w:lang w:eastAsia="zh-CN"/>
                <w14:textFill>
                  <w14:solidFill>
                    <w14:schemeClr w14:val="tx1"/>
                  </w14:solidFill>
                </w14:textFill>
              </w:rPr>
              <w:t>合同及</w:t>
            </w:r>
            <w:r>
              <w:rPr>
                <w:rFonts w:hint="eastAsia"/>
                <w:color w:val="000000" w:themeColor="text1"/>
                <w:highlight w:val="none"/>
                <w14:textFill>
                  <w14:solidFill>
                    <w14:schemeClr w14:val="tx1"/>
                  </w14:solidFill>
                </w14:textFill>
              </w:rPr>
              <w:t>业主评价及相关证明材料，评价材料必须达到90分或带有“满意”或“好评”或“优秀”等相关正面评价字眼，每提供一份得</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分，最高</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（提供有效的合同复印件</w:t>
            </w:r>
            <w:r>
              <w:rPr>
                <w:rFonts w:hint="eastAsia"/>
                <w:color w:val="000000" w:themeColor="text1"/>
                <w:highlight w:val="none"/>
                <w:lang w:eastAsia="zh-CN"/>
                <w14:textFill>
                  <w14:solidFill>
                    <w14:schemeClr w14:val="tx1"/>
                  </w14:solidFill>
                </w14:textFill>
              </w:rPr>
              <w:t>及</w:t>
            </w:r>
            <w:r>
              <w:rPr>
                <w:rFonts w:hint="eastAsia"/>
                <w:color w:val="000000" w:themeColor="text1"/>
                <w:highlight w:val="none"/>
                <w14:textFill>
                  <w14:solidFill>
                    <w14:schemeClr w14:val="tx1"/>
                  </w14:solidFill>
                </w14:textFill>
              </w:rPr>
              <w:t>有效的证明材料加盖公章。)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产品授权</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.0分)</w:t>
            </w:r>
          </w:p>
        </w:tc>
        <w:tc>
          <w:tcPr>
            <w:tcW w:w="5076" w:type="dxa"/>
          </w:tcPr>
          <w:p>
            <w:pP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为了保证产品具有追溯性且保证质量，</w:t>
            </w:r>
            <w:r>
              <w:rPr>
                <w:rFonts w:hint="eastAsia" w:ascii="宋体" w:hAnsi="宋体"/>
                <w:color w:val="000000" w:themeColor="text1"/>
                <w:szCs w:val="21"/>
                <w:highlight w:val="none"/>
                <w:lang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人为</w:t>
            </w:r>
            <w:r>
              <w:rPr>
                <w:rFonts w:hint="eastAsia" w:ascii="宋体" w:hAnsi="宋体" w:eastAsia="宋体"/>
                <w:color w:val="000000" w:themeColor="text1"/>
                <w:szCs w:val="21"/>
                <w:highlight w:val="none"/>
                <w14:textFill>
                  <w14:solidFill>
                    <w14:schemeClr w14:val="tx1"/>
                  </w14:solidFill>
                </w14:textFill>
              </w:rPr>
              <w:t>所投产品（</w:t>
            </w:r>
            <w:r>
              <w:rPr>
                <w:rFonts w:hint="eastAsia"/>
                <w:color w:val="000000" w:themeColor="text1"/>
                <w:highlight w:val="none"/>
                <w14:textFill>
                  <w14:solidFill>
                    <w14:schemeClr w14:val="tx1"/>
                  </w14:solidFill>
                </w14:textFill>
              </w:rPr>
              <w:t>过滤器</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代理商、经销商</w:t>
            </w:r>
            <w:r>
              <w:rPr>
                <w:rFonts w:hint="eastAsia" w:ascii="宋体" w:hAnsi="宋体"/>
                <w:color w:val="000000" w:themeColor="text1"/>
                <w:szCs w:val="21"/>
                <w:highlight w:val="none"/>
                <w:lang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的，提供生产企业或其授权的经销商（代理商）出具的有效授权证明的或</w:t>
            </w:r>
            <w:r>
              <w:rPr>
                <w:rFonts w:hint="eastAsia" w:ascii="宋体" w:hAnsi="宋体"/>
                <w:color w:val="000000" w:themeColor="text1"/>
                <w:szCs w:val="21"/>
                <w:highlight w:val="none"/>
                <w:lang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人为</w:t>
            </w:r>
            <w:r>
              <w:rPr>
                <w:rFonts w:hint="eastAsia" w:ascii="宋体" w:hAnsi="宋体" w:eastAsia="宋体"/>
                <w:color w:val="000000" w:themeColor="text1"/>
                <w:szCs w:val="21"/>
                <w:highlight w:val="none"/>
                <w14:textFill>
                  <w14:solidFill>
                    <w14:schemeClr w14:val="tx1"/>
                  </w14:solidFill>
                </w14:textFill>
              </w:rPr>
              <w:t>所投产品（</w:t>
            </w:r>
            <w:r>
              <w:rPr>
                <w:rFonts w:hint="eastAsia"/>
                <w:color w:val="000000" w:themeColor="text1"/>
                <w:highlight w:val="none"/>
                <w14:textFill>
                  <w14:solidFill>
                    <w14:schemeClr w14:val="tx1"/>
                  </w14:solidFill>
                </w14:textFill>
              </w:rPr>
              <w:t>过滤器</w:t>
            </w:r>
            <w:r>
              <w:rPr>
                <w:rFonts w:hint="eastAsia" w:ascii="宋体" w:hAnsi="宋体" w:eastAsia="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生产企业</w:t>
            </w:r>
            <w:r>
              <w:rPr>
                <w:rFonts w:hint="eastAsia" w:ascii="宋体" w:hAnsi="宋体"/>
                <w:color w:val="000000" w:themeColor="text1"/>
                <w:szCs w:val="21"/>
                <w:highlight w:val="none"/>
                <w:lang w:eastAsia="zh-CN"/>
                <w14:textFill>
                  <w14:solidFill>
                    <w14:schemeClr w14:val="tx1"/>
                  </w14:solidFill>
                </w14:textFill>
              </w:rPr>
              <w:t>响应</w:t>
            </w:r>
            <w:r>
              <w:rPr>
                <w:rFonts w:hint="eastAsia" w:ascii="宋体" w:hAnsi="宋体"/>
                <w:color w:val="000000" w:themeColor="text1"/>
                <w:szCs w:val="21"/>
                <w:highlight w:val="none"/>
                <w14:textFill>
                  <w14:solidFill>
                    <w14:schemeClr w14:val="tx1"/>
                  </w14:solidFill>
                </w14:textFill>
              </w:rPr>
              <w:t>的（需提供相关证明文件）均得</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pPr>
              <w:rPr>
                <w:color w:val="000000" w:themeColor="text1"/>
                <w:highlight w:val="none"/>
                <w14:textFill>
                  <w14:solidFill>
                    <w14:schemeClr w14:val="tx1"/>
                  </w14:solidFill>
                </w14:textFill>
              </w:rPr>
            </w:pPr>
          </w:p>
        </w:tc>
        <w:tc>
          <w:tcPr>
            <w:tcW w:w="2307" w:type="dxa"/>
          </w:tcPr>
          <w:p>
            <w:pP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w:t>
            </w:r>
            <w:r>
              <w:rPr>
                <w:rFonts w:hint="eastAsia"/>
                <w:color w:val="000000" w:themeColor="text1"/>
                <w:highlight w:val="none"/>
                <w14:textFill>
                  <w14:solidFill>
                    <w14:schemeClr w14:val="tx1"/>
                  </w14:solidFill>
                </w14:textFill>
              </w:rPr>
              <w:t>人管理体系认证</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.0分)</w:t>
            </w:r>
          </w:p>
        </w:tc>
        <w:tc>
          <w:tcPr>
            <w:tcW w:w="5076" w:type="dxa"/>
          </w:tcPr>
          <w:p>
            <w:pP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w:t>
            </w:r>
            <w:r>
              <w:rPr>
                <w:rFonts w:hint="eastAsia"/>
                <w:color w:val="000000" w:themeColor="text1"/>
                <w:highlight w:val="none"/>
                <w14:textFill>
                  <w14:solidFill>
                    <w14:schemeClr w14:val="tx1"/>
                  </w14:solidFill>
                </w14:textFill>
              </w:rPr>
              <w:t>人具有质量管理体系认证得2分，</w:t>
            </w:r>
          </w:p>
          <w:p>
            <w:pP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w:t>
            </w:r>
            <w:r>
              <w:rPr>
                <w:rFonts w:hint="eastAsia"/>
                <w:color w:val="000000" w:themeColor="text1"/>
                <w:highlight w:val="none"/>
                <w14:textFill>
                  <w14:solidFill>
                    <w14:schemeClr w14:val="tx1"/>
                  </w14:solidFill>
                </w14:textFill>
              </w:rPr>
              <w:t>人具有环境管理体系认证得2分，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（须提供证书复印件以及在全国认证认可信息公共服务平台上</w:t>
            </w:r>
            <w:r>
              <w:rPr>
                <w:color w:val="000000" w:themeColor="text1"/>
                <w:highlight w:val="none"/>
                <w14:textFill>
                  <w14:solidFill>
                    <w14:schemeClr w14:val="tx1"/>
                  </w14:solidFill>
                </w14:textFill>
              </w:rPr>
              <w:t>http://cx.cnca.cn</w:t>
            </w:r>
            <w:r>
              <w:rPr>
                <w:rFonts w:hint="eastAsia"/>
                <w:color w:val="000000" w:themeColor="text1"/>
                <w:highlight w:val="none"/>
                <w14:textFill>
                  <w14:solidFill>
                    <w14:schemeClr w14:val="tx1"/>
                  </w14:solidFill>
                </w14:textFill>
              </w:rPr>
              <w:t>查询结果的截图，证书状态必须为</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有效</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报价</w:t>
            </w:r>
          </w:p>
        </w:tc>
        <w:tc>
          <w:tcPr>
            <w:tcW w:w="2307" w:type="dxa"/>
          </w:tcPr>
          <w:p>
            <w:pPr>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报价得分 (</w:t>
            </w:r>
            <w:r>
              <w:rPr>
                <w:rFonts w:hint="eastAsia"/>
                <w:color w:val="000000" w:themeColor="text1"/>
                <w:highlight w:val="none"/>
                <w:lang w:val="en-US" w:eastAsia="zh-CN"/>
                <w14:textFill>
                  <w14:solidFill>
                    <w14:schemeClr w14:val="tx1"/>
                  </w14:solidFill>
                </w14:textFill>
              </w:rPr>
              <w:t>30</w:t>
            </w:r>
            <w:r>
              <w:rPr>
                <w:color w:val="000000" w:themeColor="text1"/>
                <w:highlight w:val="none"/>
                <w14:textFill>
                  <w14:solidFill>
                    <w14:schemeClr w14:val="tx1"/>
                  </w14:solidFill>
                </w14:textFill>
              </w:rPr>
              <w:t>.0分)</w:t>
            </w:r>
          </w:p>
        </w:tc>
        <w:tc>
          <w:tcPr>
            <w:tcW w:w="5076" w:type="dxa"/>
          </w:tcPr>
          <w:p>
            <w:pPr>
              <w:jc w:val="left"/>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报价得分＝（评标基准价/</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报价）×价格分值【注：满足</w:t>
            </w:r>
            <w:r>
              <w:rPr>
                <w:rFonts w:hint="eastAsia"/>
                <w:color w:val="000000" w:themeColor="text1"/>
                <w:highlight w:val="none"/>
                <w:lang w:eastAsia="zh-CN"/>
                <w14:textFill>
                  <w14:solidFill>
                    <w14:schemeClr w14:val="tx1"/>
                  </w14:solidFill>
                </w14:textFill>
              </w:rPr>
              <w:t>响应文件</w:t>
            </w:r>
            <w:r>
              <w:rPr>
                <w:color w:val="000000" w:themeColor="text1"/>
                <w:highlight w:val="none"/>
                <w14:textFill>
                  <w14:solidFill>
                    <w14:schemeClr w14:val="tx1"/>
                  </w14:solidFill>
                </w14:textFill>
              </w:rPr>
              <w:t>要求且</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价格最低的</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报价为评标基准价。】最低报价不是</w:t>
            </w:r>
            <w:r>
              <w:rPr>
                <w:rFonts w:hint="eastAsia"/>
                <w:color w:val="000000" w:themeColor="text1"/>
                <w:highlight w:val="none"/>
                <w:lang w:eastAsia="zh-CN"/>
                <w14:textFill>
                  <w14:solidFill>
                    <w14:schemeClr w14:val="tx1"/>
                  </w14:solidFill>
                </w14:textFill>
              </w:rPr>
              <w:t>成交供应商</w:t>
            </w:r>
            <w:r>
              <w:rPr>
                <w:color w:val="000000" w:themeColor="text1"/>
                <w:highlight w:val="none"/>
                <w14:textFill>
                  <w14:solidFill>
                    <w14:schemeClr w14:val="tx1"/>
                  </w14:solidFill>
                </w14:textFill>
              </w:rPr>
              <w:t>的唯一依据。因落实政府采购政策进行价格调整的，以调整后的价格计算评标基准价和</w:t>
            </w:r>
            <w:r>
              <w:rPr>
                <w:rFonts w:hint="eastAsia"/>
                <w:color w:val="000000" w:themeColor="text1"/>
                <w:highlight w:val="none"/>
                <w:lang w:eastAsia="zh-CN"/>
                <w14:textFill>
                  <w14:solidFill>
                    <w14:schemeClr w14:val="tx1"/>
                  </w14:solidFill>
                </w14:textFill>
              </w:rPr>
              <w:t>响应</w:t>
            </w:r>
            <w:r>
              <w:rPr>
                <w:color w:val="000000" w:themeColor="text1"/>
                <w:highlight w:val="none"/>
                <w14:textFill>
                  <w14:solidFill>
                    <w14:schemeClr w14:val="tx1"/>
                  </w14:solidFill>
                </w14:textFill>
              </w:rPr>
              <w:t>报价。</w:t>
            </w:r>
          </w:p>
        </w:tc>
      </w:tr>
    </w:tbl>
    <w:p>
      <w:pPr>
        <w:rPr>
          <w:color w:val="000000" w:themeColor="text1"/>
          <w:highlight w:val="none"/>
          <w14:textFill>
            <w14:solidFill>
              <w14:schemeClr w14:val="tx1"/>
            </w14:solidFill>
          </w14:textFill>
        </w:rPr>
      </w:pPr>
    </w:p>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pPr>
      <w:r>
        <w:rPr>
          <w:b/>
          <w:sz w:val="36"/>
        </w:rPr>
        <w:t>第</w:t>
      </w:r>
      <w:r>
        <w:rPr>
          <w:rFonts w:hint="eastAsia"/>
          <w:b/>
          <w:sz w:val="36"/>
          <w:lang w:eastAsia="zh-CN"/>
        </w:rPr>
        <w:t>四</w:t>
      </w:r>
      <w:r>
        <w:rPr>
          <w:b/>
          <w:sz w:val="36"/>
        </w:rPr>
        <w:t>章 合同文本</w:t>
      </w:r>
    </w:p>
    <w:p>
      <w:pPr>
        <w:tabs>
          <w:tab w:val="left" w:pos="5719"/>
        </w:tabs>
        <w:adjustRightInd w:val="0"/>
        <w:snapToGrid w:val="0"/>
        <w:spacing w:line="360" w:lineRule="auto"/>
        <w:jc w:val="left"/>
        <w:rPr>
          <w:rFonts w:ascii="宋体" w:hAnsi="宋体" w:eastAsia="宋体" w:cs="宋体"/>
          <w:b/>
          <w:szCs w:val="21"/>
        </w:rPr>
      </w:pPr>
      <w:r>
        <w:rPr>
          <w:rFonts w:hint="eastAsia" w:ascii="宋体" w:hAnsi="宋体" w:eastAsia="宋体" w:cs="宋体"/>
          <w:b/>
          <w:szCs w:val="21"/>
          <w:lang w:bidi="ar"/>
        </w:rPr>
        <w:tab/>
      </w: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pStyle w:val="12"/>
        <w:widowControl/>
        <w:rPr>
          <w:rFonts w:hint="default" w:ascii="宋体" w:eastAsia="宋体" w:cs="宋体"/>
          <w:spacing w:val="80"/>
          <w:kern w:val="0"/>
          <w:sz w:val="84"/>
          <w:szCs w:val="84"/>
        </w:rPr>
      </w:pPr>
      <w:r>
        <w:rPr>
          <w:rFonts w:ascii="宋体" w:eastAsia="宋体" w:cs="宋体"/>
          <w:spacing w:val="80"/>
          <w:kern w:val="0"/>
          <w:sz w:val="84"/>
          <w:szCs w:val="84"/>
        </w:rPr>
        <w:t>合 同 书</w:t>
      </w: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jc w:val="center"/>
        <w:rPr>
          <w:rFonts w:ascii="宋体" w:hAnsi="宋体" w:eastAsia="宋体" w:cs="宋体"/>
          <w:b/>
          <w:szCs w:val="21"/>
        </w:rPr>
      </w:pPr>
    </w:p>
    <w:p>
      <w:pPr>
        <w:adjustRightInd w:val="0"/>
        <w:snapToGrid w:val="0"/>
        <w:spacing w:line="360" w:lineRule="auto"/>
        <w:rPr>
          <w:rFonts w:ascii="宋体" w:hAnsi="宋体" w:eastAsia="宋体" w:cs="宋体"/>
          <w:b/>
          <w:szCs w:val="21"/>
        </w:rPr>
      </w:pPr>
    </w:p>
    <w:p>
      <w:pPr>
        <w:adjustRightInd w:val="0"/>
        <w:snapToGrid w:val="0"/>
        <w:spacing w:line="480" w:lineRule="auto"/>
        <w:ind w:firstLine="2264" w:firstLineChars="1074"/>
        <w:rPr>
          <w:rFonts w:ascii="宋体" w:hAnsi="宋体" w:eastAsia="宋体" w:cs="宋体"/>
          <w:b/>
          <w:szCs w:val="21"/>
          <w:u w:val="single"/>
        </w:rPr>
      </w:pPr>
      <w:r>
        <w:rPr>
          <w:rFonts w:hint="eastAsia" w:ascii="宋体" w:hAnsi="宋体" w:eastAsia="宋体" w:cs="宋体"/>
          <w:b/>
          <w:szCs w:val="21"/>
          <w:lang w:bidi="ar"/>
        </w:rPr>
        <w:t>项目名称：______</w:t>
      </w:r>
      <w:r>
        <w:rPr>
          <w:rFonts w:hint="eastAsia" w:ascii="宋体" w:hAnsi="宋体" w:eastAsia="宋体" w:cs="宋体"/>
          <w:b/>
          <w:szCs w:val="21"/>
          <w:u w:val="single"/>
          <w:lang w:bidi="ar"/>
        </w:rPr>
        <w:t xml:space="preserve">_                          </w:t>
      </w:r>
    </w:p>
    <w:p>
      <w:pPr>
        <w:adjustRightInd w:val="0"/>
        <w:snapToGrid w:val="0"/>
        <w:spacing w:line="480" w:lineRule="auto"/>
        <w:ind w:firstLine="2264" w:firstLineChars="1074"/>
        <w:rPr>
          <w:rFonts w:ascii="宋体" w:hAnsi="宋体" w:eastAsia="宋体" w:cs="宋体"/>
          <w:b/>
          <w:szCs w:val="21"/>
          <w:u w:val="single"/>
        </w:rPr>
      </w:pPr>
      <w:r>
        <w:rPr>
          <w:rFonts w:hint="eastAsia" w:ascii="宋体" w:hAnsi="宋体" w:eastAsia="宋体" w:cs="宋体"/>
          <w:b/>
          <w:szCs w:val="21"/>
          <w:lang w:bidi="ar"/>
        </w:rPr>
        <w:t>合同编号：</w:t>
      </w:r>
      <w:r>
        <w:rPr>
          <w:rFonts w:hint="eastAsia" w:ascii="宋体" w:hAnsi="宋体" w:eastAsia="宋体" w:cs="宋体"/>
          <w:b/>
          <w:szCs w:val="21"/>
          <w:u w:val="single"/>
          <w:lang w:bidi="ar"/>
        </w:rPr>
        <w:t xml:space="preserve">                                 </w:t>
      </w:r>
    </w:p>
    <w:p>
      <w:pPr>
        <w:adjustRightInd w:val="0"/>
        <w:snapToGrid w:val="0"/>
        <w:spacing w:line="720" w:lineRule="auto"/>
        <w:ind w:firstLine="2264" w:firstLineChars="1074"/>
        <w:rPr>
          <w:rFonts w:ascii="宋体" w:hAnsi="宋体" w:eastAsia="宋体" w:cs="宋体"/>
          <w:b/>
          <w:szCs w:val="21"/>
        </w:rPr>
      </w:pPr>
      <w:r>
        <w:rPr>
          <w:rFonts w:hint="eastAsia" w:ascii="宋体" w:hAnsi="宋体" w:eastAsia="宋体" w:cs="宋体"/>
          <w:b/>
          <w:szCs w:val="21"/>
          <w:lang w:bidi="ar"/>
        </w:rPr>
        <w:t>签约地点：</w:t>
      </w:r>
      <w:r>
        <w:rPr>
          <w:rFonts w:hint="eastAsia" w:ascii="宋体" w:hAnsi="宋体" w:eastAsia="宋体" w:cs="宋体"/>
          <w:b/>
          <w:szCs w:val="21"/>
          <w:u w:val="single"/>
          <w:lang w:bidi="ar"/>
        </w:rPr>
        <w:t xml:space="preserve">                                 </w:t>
      </w:r>
    </w:p>
    <w:p>
      <w:pPr>
        <w:adjustRightInd w:val="0"/>
        <w:snapToGrid w:val="0"/>
        <w:spacing w:line="720" w:lineRule="auto"/>
        <w:jc w:val="center"/>
        <w:rPr>
          <w:rFonts w:ascii="宋体" w:hAnsi="宋体" w:eastAsia="宋体" w:cs="宋体"/>
          <w:b/>
          <w:szCs w:val="21"/>
        </w:rPr>
      </w:pPr>
      <w:r>
        <w:rPr>
          <w:rFonts w:hint="eastAsia" w:ascii="宋体" w:hAnsi="宋体" w:eastAsia="宋体" w:cs="宋体"/>
          <w:b/>
          <w:szCs w:val="21"/>
          <w:lang w:bidi="ar"/>
        </w:rPr>
        <w:t>签订日期：二○   年    月     日</w:t>
      </w: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hint="eastAsia" w:ascii="仿宋" w:hAnsi="仿宋" w:eastAsia="仿宋"/>
          <w:sz w:val="24"/>
        </w:rPr>
      </w:pPr>
    </w:p>
    <w:p>
      <w:pPr>
        <w:spacing w:line="360" w:lineRule="auto"/>
        <w:rPr>
          <w:rFonts w:ascii="仿宋" w:hAnsi="仿宋" w:eastAsia="仿宋"/>
          <w:sz w:val="24"/>
        </w:rPr>
      </w:pPr>
      <w:r>
        <w:rPr>
          <w:rFonts w:hint="eastAsia" w:ascii="仿宋" w:hAnsi="仿宋" w:eastAsia="仿宋"/>
          <w:sz w:val="24"/>
        </w:rPr>
        <w:t>甲方：广州市妇女儿童医疗中心</w:t>
      </w:r>
    </w:p>
    <w:p>
      <w:pPr>
        <w:spacing w:line="360" w:lineRule="auto"/>
        <w:rPr>
          <w:rFonts w:ascii="仿宋" w:hAnsi="仿宋" w:eastAsia="仿宋"/>
          <w:sz w:val="24"/>
        </w:rPr>
      </w:pPr>
      <w:r>
        <w:rPr>
          <w:rFonts w:hint="eastAsia" w:ascii="仿宋" w:hAnsi="仿宋" w:eastAsia="仿宋"/>
          <w:sz w:val="24"/>
        </w:rPr>
        <w:t xml:space="preserve">乙方： </w:t>
      </w:r>
    </w:p>
    <w:p>
      <w:pPr>
        <w:spacing w:line="360" w:lineRule="auto"/>
        <w:ind w:firstLine="480" w:firstLineChars="200"/>
        <w:rPr>
          <w:rFonts w:ascii="仿宋" w:hAnsi="仿宋" w:eastAsia="仿宋"/>
          <w:sz w:val="24"/>
        </w:rPr>
      </w:pPr>
      <w:r>
        <w:rPr>
          <w:rFonts w:hint="eastAsia" w:ascii="仿宋" w:hAnsi="仿宋" w:eastAsia="仿宋"/>
          <w:sz w:val="24"/>
        </w:rPr>
        <w:t>根据《中华人民共和国民法典》、《中华人民共和国政府采购法》及 “广州市妇女儿童医疗中心</w:t>
      </w:r>
      <w:r>
        <w:rPr>
          <w:rFonts w:hint="eastAsia" w:ascii="仿宋" w:hAnsi="仿宋" w:eastAsia="仿宋"/>
          <w:sz w:val="24"/>
          <w:lang w:val="en-US" w:eastAsia="zh-CN"/>
        </w:rPr>
        <w:t>增城</w:t>
      </w:r>
      <w:r>
        <w:rPr>
          <w:rFonts w:hint="eastAsia" w:ascii="仿宋" w:hAnsi="仿宋" w:eastAsia="仿宋"/>
          <w:sz w:val="24"/>
        </w:rPr>
        <w:t>院区洁净空调滤网采购</w:t>
      </w:r>
      <w:r>
        <w:rPr>
          <w:rFonts w:hint="eastAsia" w:ascii="仿宋" w:hAnsi="仿宋" w:eastAsia="仿宋"/>
          <w:sz w:val="24"/>
          <w:lang w:eastAsia="zh-CN"/>
        </w:rPr>
        <w:t>遴选</w:t>
      </w:r>
      <w:r>
        <w:rPr>
          <w:rFonts w:hint="eastAsia" w:ascii="仿宋" w:hAnsi="仿宋" w:eastAsia="仿宋"/>
          <w:sz w:val="24"/>
        </w:rPr>
        <w:t>文件（编号：</w:t>
      </w:r>
      <w:r>
        <w:rPr>
          <w:rFonts w:hint="eastAsia" w:ascii="仿宋" w:hAnsi="仿宋" w:eastAsia="仿宋"/>
          <w:sz w:val="24"/>
          <w:lang w:val="en-US" w:eastAsia="zh-CN"/>
        </w:rPr>
        <w:t>****</w:t>
      </w:r>
      <w:r>
        <w:rPr>
          <w:rFonts w:hint="eastAsia" w:ascii="仿宋" w:hAnsi="仿宋" w:eastAsia="仿宋"/>
          <w:sz w:val="24"/>
        </w:rPr>
        <w:t>）</w:t>
      </w:r>
      <w:r>
        <w:rPr>
          <w:rFonts w:hint="eastAsia" w:ascii="仿宋" w:hAnsi="仿宋" w:eastAsia="仿宋"/>
          <w:sz w:val="24"/>
          <w:lang w:eastAsia="zh-CN"/>
        </w:rPr>
        <w:t>遴选</w:t>
      </w:r>
      <w:r>
        <w:rPr>
          <w:rFonts w:hint="eastAsia" w:ascii="仿宋" w:hAnsi="仿宋" w:eastAsia="仿宋"/>
          <w:sz w:val="24"/>
        </w:rPr>
        <w:t>文件的要求和</w:t>
      </w:r>
      <w:r>
        <w:rPr>
          <w:rFonts w:hint="eastAsia" w:ascii="仿宋" w:hAnsi="仿宋" w:eastAsia="仿宋"/>
          <w:sz w:val="24"/>
          <w:lang w:eastAsia="zh-CN"/>
        </w:rPr>
        <w:t>成交</w:t>
      </w:r>
      <w:r>
        <w:rPr>
          <w:rFonts w:hint="eastAsia" w:ascii="仿宋" w:hAnsi="仿宋" w:eastAsia="仿宋"/>
          <w:sz w:val="24"/>
        </w:rPr>
        <w:t>结果，经甲乙双方协商一致，签订本合同。双方共同遵守如下条款（其他有关合同项目的特定信息由合同附件予以说明，合同附件及本项目的</w:t>
      </w:r>
      <w:r>
        <w:rPr>
          <w:rFonts w:hint="eastAsia" w:ascii="仿宋" w:hAnsi="仿宋" w:eastAsia="仿宋"/>
          <w:sz w:val="24"/>
          <w:lang w:eastAsia="zh-CN"/>
        </w:rPr>
        <w:t>遴选</w:t>
      </w:r>
      <w:r>
        <w:rPr>
          <w:rFonts w:hint="eastAsia" w:ascii="仿宋" w:hAnsi="仿宋" w:eastAsia="仿宋"/>
          <w:sz w:val="24"/>
        </w:rPr>
        <w:t>文件、</w:t>
      </w:r>
      <w:r>
        <w:rPr>
          <w:rFonts w:hint="eastAsia" w:ascii="仿宋" w:hAnsi="仿宋" w:eastAsia="仿宋"/>
          <w:sz w:val="24"/>
          <w:lang w:eastAsia="zh-CN"/>
        </w:rPr>
        <w:t>响应</w:t>
      </w:r>
      <w:r>
        <w:rPr>
          <w:rFonts w:hint="eastAsia" w:ascii="仿宋" w:hAnsi="仿宋" w:eastAsia="仿宋"/>
          <w:sz w:val="24"/>
        </w:rPr>
        <w:t>文件、</w:t>
      </w:r>
      <w:r>
        <w:rPr>
          <w:rFonts w:hint="eastAsia" w:ascii="仿宋" w:hAnsi="仿宋" w:eastAsia="仿宋"/>
          <w:sz w:val="24"/>
          <w:lang w:eastAsia="zh-CN"/>
        </w:rPr>
        <w:t>成交</w:t>
      </w:r>
      <w:r>
        <w:rPr>
          <w:rFonts w:hint="eastAsia" w:ascii="仿宋" w:hAnsi="仿宋" w:eastAsia="仿宋"/>
          <w:sz w:val="24"/>
        </w:rPr>
        <w:t>通知书、在实施过程中双方共同签署的补充文件等均为本合同不可分割之一部分）。</w:t>
      </w:r>
    </w:p>
    <w:p>
      <w:pPr>
        <w:spacing w:line="360" w:lineRule="auto"/>
        <w:rPr>
          <w:rFonts w:ascii="仿宋" w:hAnsi="仿宋" w:eastAsia="仿宋"/>
          <w:sz w:val="24"/>
        </w:rPr>
      </w:pPr>
      <w:r>
        <w:rPr>
          <w:rFonts w:hint="eastAsia" w:ascii="仿宋" w:hAnsi="仿宋" w:eastAsia="仿宋"/>
          <w:sz w:val="24"/>
        </w:rPr>
        <w:t>一、货物内容：见货物清单。</w:t>
      </w:r>
    </w:p>
    <w:p>
      <w:pPr>
        <w:spacing w:line="360" w:lineRule="auto"/>
        <w:rPr>
          <w:rFonts w:ascii="仿宋" w:hAnsi="仿宋" w:eastAsia="仿宋"/>
          <w:sz w:val="24"/>
        </w:rPr>
      </w:pPr>
      <w:r>
        <w:rPr>
          <w:rFonts w:hint="eastAsia" w:ascii="仿宋" w:hAnsi="仿宋" w:eastAsia="仿宋"/>
          <w:sz w:val="24"/>
        </w:rPr>
        <w:t>二、货物质量要求：</w:t>
      </w:r>
    </w:p>
    <w:p>
      <w:pPr>
        <w:spacing w:line="360" w:lineRule="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 折叠式</w:t>
      </w:r>
      <w:r>
        <w:rPr>
          <w:rFonts w:hint="eastAsia" w:ascii="仿宋" w:hAnsi="仿宋" w:eastAsia="仿宋"/>
          <w:sz w:val="24"/>
          <w:lang w:eastAsia="zh-CN"/>
        </w:rPr>
        <w:t>（</w:t>
      </w:r>
      <w:r>
        <w:rPr>
          <w:rFonts w:hint="eastAsia" w:ascii="仿宋" w:hAnsi="仿宋" w:eastAsia="仿宋"/>
          <w:sz w:val="24"/>
          <w:lang w:val="en-US" w:eastAsia="zh-CN"/>
        </w:rPr>
        <w:t>初效</w:t>
      </w:r>
      <w:r>
        <w:rPr>
          <w:rFonts w:hint="eastAsia" w:ascii="仿宋" w:hAnsi="仿宋" w:eastAsia="仿宋"/>
          <w:sz w:val="24"/>
          <w:lang w:eastAsia="zh-CN"/>
        </w:rPr>
        <w:t>）</w:t>
      </w:r>
      <w:r>
        <w:rPr>
          <w:rFonts w:hint="eastAsia" w:ascii="仿宋" w:hAnsi="仿宋" w:eastAsia="仿宋"/>
          <w:sz w:val="24"/>
        </w:rPr>
        <w:t xml:space="preserve">过滤器： </w:t>
      </w:r>
    </w:p>
    <w:p>
      <w:pPr>
        <w:spacing w:line="360" w:lineRule="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.1 外框采用不低于1.0×46(或96)×18mm铝合金型材外框，四角铝合金连接码固定；</w:t>
      </w:r>
    </w:p>
    <w:p>
      <w:pPr>
        <w:spacing w:line="360" w:lineRule="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.2 内框采用8号铁丝（表面需喷漆）子母架固定模式，滤料呈线形褶状结构（折距保证不大于50mm），具有很高的容尘量；</w:t>
      </w:r>
    </w:p>
    <w:p>
      <w:pPr>
        <w:spacing w:line="360" w:lineRule="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.3 滤料与外框体压边处密封剂密封性良好，以防漏气；初效过滤器滤料采用优质聚酯合成纤维（需表面高温烫平处理，保证不掉纤维），滤料厚度：5mm，绿白无胶棉；</w:t>
      </w:r>
    </w:p>
    <w:p>
      <w:pPr>
        <w:spacing w:line="360" w:lineRule="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.3.1 中效过滤器滤料采用聚丙烯超细熔喷纤维和涤纶混合材料（必须采用纯熔喷）。</w:t>
      </w:r>
    </w:p>
    <w:p>
      <w:pPr>
        <w:spacing w:line="360" w:lineRule="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.4 效率等级：</w:t>
      </w:r>
    </w:p>
    <w:p>
      <w:pPr>
        <w:spacing w:line="360" w:lineRule="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.4.1 初效过滤器：G4平均计重效率≥90% ，对粒径≥5.0um</w:t>
      </w:r>
    </w:p>
    <w:p>
      <w:pPr>
        <w:spacing w:line="360" w:lineRule="auto"/>
        <w:rPr>
          <w:rFonts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.4.2 中效过滤器：F8效率≥90%，对粒径≥5.0um</w:t>
      </w:r>
    </w:p>
    <w:p>
      <w:pPr>
        <w:spacing w:line="360" w:lineRule="auto"/>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 袋式</w:t>
      </w:r>
      <w:r>
        <w:rPr>
          <w:rFonts w:hint="eastAsia" w:ascii="仿宋" w:hAnsi="仿宋" w:eastAsia="仿宋"/>
          <w:sz w:val="24"/>
          <w:lang w:eastAsia="zh-CN"/>
        </w:rPr>
        <w:t>（</w:t>
      </w:r>
      <w:r>
        <w:rPr>
          <w:rFonts w:hint="eastAsia" w:ascii="仿宋" w:hAnsi="仿宋" w:eastAsia="仿宋"/>
          <w:sz w:val="24"/>
        </w:rPr>
        <w:t>中效</w:t>
      </w:r>
      <w:r>
        <w:rPr>
          <w:rFonts w:hint="eastAsia" w:ascii="仿宋" w:hAnsi="仿宋" w:eastAsia="仿宋"/>
          <w:sz w:val="24"/>
          <w:lang w:eastAsia="zh-CN"/>
        </w:rPr>
        <w:t>）</w:t>
      </w:r>
      <w:r>
        <w:rPr>
          <w:rFonts w:hint="eastAsia" w:ascii="仿宋" w:hAnsi="仿宋" w:eastAsia="仿宋"/>
          <w:sz w:val="24"/>
        </w:rPr>
        <w:t xml:space="preserve">过滤器： </w:t>
      </w:r>
    </w:p>
    <w:p>
      <w:pPr>
        <w:spacing w:line="360" w:lineRule="auto"/>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.1 外框采用1.0×21×18mm铝合金型材外框，四角铝合金连接码固定；</w:t>
      </w:r>
    </w:p>
    <w:p>
      <w:pPr>
        <w:spacing w:line="360" w:lineRule="auto"/>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.2 铝合金压条、内框采用镀锌板折叠支撑架整体固定模式；</w:t>
      </w:r>
    </w:p>
    <w:p>
      <w:pPr>
        <w:spacing w:line="360" w:lineRule="auto"/>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.3 滤料与外框体压边处密封剂及铝合金压条密封性良好，以防漏气；</w:t>
      </w:r>
    </w:p>
    <w:p>
      <w:pPr>
        <w:spacing w:line="360" w:lineRule="auto"/>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 xml:space="preserve">.4 滤料采用A型成品滤袋，滤料结构：PP＋针棉＋熔喷，滤料厚度：7mm； </w:t>
      </w:r>
    </w:p>
    <w:p>
      <w:pPr>
        <w:spacing w:line="360" w:lineRule="auto"/>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rPr>
        <w:t>.5 效率等级：F8效率≥90%，对粒径≥5.0um</w:t>
      </w:r>
    </w:p>
    <w:p>
      <w:pPr>
        <w:spacing w:line="360" w:lineRule="auto"/>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 xml:space="preserve">. 亚高效过滤器：   </w:t>
      </w:r>
    </w:p>
    <w:p>
      <w:pPr>
        <w:spacing w:line="360" w:lineRule="auto"/>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.1 HV超细、防潮耐高湿、耐火型玻璃纤维滤纸；</w:t>
      </w:r>
    </w:p>
    <w:p>
      <w:pPr>
        <w:spacing w:line="360" w:lineRule="auto"/>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.2 V型结构、无隔板滤芯、四隔八面 ，镀锌钢板外框；</w:t>
      </w:r>
    </w:p>
    <w:p>
      <w:pPr>
        <w:spacing w:line="360" w:lineRule="auto"/>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.3 密封胶采用耐高温聚氨酯密封；</w:t>
      </w:r>
    </w:p>
    <w:p>
      <w:pPr>
        <w:spacing w:line="360" w:lineRule="auto"/>
        <w:rPr>
          <w:rFonts w:ascii="仿宋" w:hAnsi="仿宋" w:eastAsia="仿宋"/>
          <w:sz w:val="24"/>
        </w:rPr>
      </w:pPr>
      <w:r>
        <w:rPr>
          <w:rFonts w:hint="eastAsia" w:ascii="仿宋" w:hAnsi="仿宋" w:eastAsia="仿宋"/>
          <w:sz w:val="24"/>
          <w:lang w:val="en-US" w:eastAsia="zh-CN"/>
        </w:rPr>
        <w:t>3</w:t>
      </w:r>
      <w:r>
        <w:rPr>
          <w:rFonts w:hint="eastAsia" w:ascii="仿宋" w:hAnsi="仿宋" w:eastAsia="仿宋"/>
          <w:sz w:val="24"/>
        </w:rPr>
        <w:t>.4 效率等级：H12效率≥99.5% ，对粒径≥5.0um</w:t>
      </w:r>
    </w:p>
    <w:p>
      <w:pPr>
        <w:spacing w:line="360" w:lineRule="auto"/>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 大风量</w:t>
      </w:r>
      <w:r>
        <w:rPr>
          <w:rFonts w:hint="eastAsia" w:ascii="仿宋" w:hAnsi="仿宋" w:eastAsia="仿宋"/>
          <w:sz w:val="24"/>
          <w:lang w:eastAsia="zh-CN"/>
        </w:rPr>
        <w:t>（</w:t>
      </w:r>
      <w:r>
        <w:rPr>
          <w:rFonts w:hint="eastAsia" w:ascii="仿宋" w:hAnsi="仿宋" w:eastAsia="仿宋"/>
          <w:sz w:val="24"/>
        </w:rPr>
        <w:t>高效</w:t>
      </w:r>
      <w:r>
        <w:rPr>
          <w:rFonts w:hint="eastAsia" w:ascii="仿宋" w:hAnsi="仿宋" w:eastAsia="仿宋"/>
          <w:sz w:val="24"/>
          <w:lang w:eastAsia="zh-CN"/>
        </w:rPr>
        <w:t>）</w:t>
      </w:r>
      <w:r>
        <w:rPr>
          <w:rFonts w:hint="eastAsia" w:ascii="仿宋" w:hAnsi="仿宋" w:eastAsia="仿宋"/>
          <w:sz w:val="24"/>
        </w:rPr>
        <w:t xml:space="preserve">过滤器: </w:t>
      </w:r>
    </w:p>
    <w:p>
      <w:pPr>
        <w:spacing w:line="360" w:lineRule="auto"/>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.1 HV超细、防潮耐高湿、耐火型玻璃纤维滤纸；</w:t>
      </w:r>
    </w:p>
    <w:p>
      <w:pPr>
        <w:spacing w:line="360" w:lineRule="auto"/>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.2 V型结构、无隔板滤芯、五隔十面 ，镀锌钢板外框；</w:t>
      </w:r>
    </w:p>
    <w:p>
      <w:pPr>
        <w:spacing w:line="360" w:lineRule="auto"/>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.3 密封胶采用耐高温聚氨酯密封；</w:t>
      </w:r>
    </w:p>
    <w:p>
      <w:pPr>
        <w:spacing w:line="360" w:lineRule="auto"/>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.4 效率等级：H14效率≥99.995%，对粒径≥0.3um</w:t>
      </w:r>
    </w:p>
    <w:p>
      <w:pPr>
        <w:spacing w:line="360" w:lineRule="auto"/>
        <w:rPr>
          <w:rFonts w:ascii="仿宋" w:hAnsi="仿宋" w:eastAsia="仿宋"/>
          <w:sz w:val="24"/>
        </w:rPr>
      </w:pPr>
      <w:r>
        <w:rPr>
          <w:rFonts w:hint="eastAsia" w:ascii="仿宋" w:hAnsi="仿宋" w:eastAsia="仿宋"/>
          <w:sz w:val="24"/>
        </w:rPr>
        <w:t>三、服务要求：乙方须具备空气过滤器的运输、安装更换能力；须具备针对空气过滤器产品有检漏、检测效率及阻力的硬件设备如尘埃粒子计数器、风速仪等。</w:t>
      </w:r>
    </w:p>
    <w:p>
      <w:pPr>
        <w:spacing w:line="360" w:lineRule="auto"/>
        <w:rPr>
          <w:rFonts w:ascii="仿宋" w:hAnsi="仿宋" w:eastAsia="仿宋"/>
          <w:sz w:val="24"/>
        </w:rPr>
      </w:pPr>
      <w:r>
        <w:rPr>
          <w:rFonts w:hint="eastAsia" w:ascii="仿宋" w:hAnsi="仿宋" w:eastAsia="仿宋"/>
          <w:sz w:val="24"/>
        </w:rPr>
        <w:t>（一）过滤器更换周期：</w:t>
      </w:r>
    </w:p>
    <w:p>
      <w:pPr>
        <w:spacing w:line="360" w:lineRule="auto"/>
        <w:rPr>
          <w:rFonts w:ascii="仿宋" w:hAnsi="仿宋" w:eastAsia="仿宋"/>
          <w:sz w:val="24"/>
        </w:rPr>
      </w:pPr>
      <w:r>
        <w:rPr>
          <w:rFonts w:hint="eastAsia" w:ascii="仿宋" w:hAnsi="仿宋" w:eastAsia="仿宋"/>
          <w:sz w:val="24"/>
        </w:rPr>
        <w:t>1、新风空调柜机</w:t>
      </w:r>
    </w:p>
    <w:p>
      <w:pPr>
        <w:spacing w:line="360" w:lineRule="auto"/>
        <w:rPr>
          <w:rFonts w:ascii="仿宋" w:hAnsi="仿宋" w:eastAsia="仿宋"/>
          <w:sz w:val="24"/>
        </w:rPr>
      </w:pPr>
      <w:r>
        <w:rPr>
          <w:rFonts w:hint="eastAsia" w:ascii="仿宋" w:hAnsi="仿宋" w:eastAsia="仿宋"/>
          <w:sz w:val="24"/>
        </w:rPr>
        <w:t>（1） 初效过滤器：更换周期为1次</w:t>
      </w:r>
      <w:r>
        <w:rPr>
          <w:rFonts w:hint="eastAsia" w:ascii="仿宋" w:hAnsi="仿宋" w:eastAsia="仿宋"/>
          <w:sz w:val="24"/>
          <w:lang w:val="en-US" w:eastAsia="zh-CN"/>
        </w:rPr>
        <w:t>/</w:t>
      </w:r>
      <w:r>
        <w:rPr>
          <w:rFonts w:hint="eastAsia" w:ascii="仿宋" w:hAnsi="仿宋" w:eastAsia="仿宋"/>
          <w:sz w:val="24"/>
        </w:rPr>
        <w:t xml:space="preserve">月          </w:t>
      </w:r>
    </w:p>
    <w:p>
      <w:pPr>
        <w:spacing w:line="360" w:lineRule="auto"/>
        <w:rPr>
          <w:rFonts w:ascii="仿宋" w:hAnsi="仿宋" w:eastAsia="仿宋"/>
          <w:sz w:val="24"/>
        </w:rPr>
      </w:pPr>
      <w:r>
        <w:rPr>
          <w:rFonts w:hint="eastAsia" w:ascii="仿宋" w:hAnsi="仿宋" w:eastAsia="仿宋"/>
          <w:sz w:val="24"/>
        </w:rPr>
        <w:t>（2）中效袋式过滤器：更换周期为1次</w:t>
      </w:r>
      <w:r>
        <w:rPr>
          <w:rFonts w:hint="eastAsia" w:ascii="仿宋" w:hAnsi="仿宋" w:eastAsia="仿宋"/>
          <w:sz w:val="24"/>
          <w:lang w:val="en-US" w:eastAsia="zh-CN"/>
        </w:rPr>
        <w:t>6</w:t>
      </w:r>
      <w:r>
        <w:rPr>
          <w:rFonts w:hint="eastAsia" w:ascii="仿宋" w:hAnsi="仿宋" w:eastAsia="仿宋"/>
          <w:sz w:val="24"/>
        </w:rPr>
        <w:t xml:space="preserve">个月         </w:t>
      </w:r>
    </w:p>
    <w:p>
      <w:pPr>
        <w:spacing w:line="360" w:lineRule="auto"/>
        <w:rPr>
          <w:rFonts w:ascii="仿宋" w:hAnsi="仿宋" w:eastAsia="仿宋"/>
          <w:sz w:val="24"/>
        </w:rPr>
      </w:pPr>
      <w:r>
        <w:rPr>
          <w:rFonts w:hint="eastAsia" w:ascii="仿宋" w:hAnsi="仿宋" w:eastAsia="仿宋"/>
          <w:sz w:val="24"/>
        </w:rPr>
        <w:t>（3）亚高效过滤器：更换周期为1次/</w:t>
      </w:r>
      <w:r>
        <w:rPr>
          <w:rFonts w:hint="eastAsia" w:ascii="仿宋" w:hAnsi="仿宋" w:eastAsia="仿宋"/>
          <w:sz w:val="24"/>
          <w:lang w:val="en-US" w:eastAsia="zh-CN"/>
        </w:rPr>
        <w:t>12</w:t>
      </w:r>
      <w:r>
        <w:rPr>
          <w:rFonts w:hint="eastAsia" w:ascii="仿宋" w:hAnsi="仿宋" w:eastAsia="仿宋"/>
          <w:sz w:val="24"/>
        </w:rPr>
        <w:t xml:space="preserve">个月           </w:t>
      </w:r>
    </w:p>
    <w:p>
      <w:pPr>
        <w:spacing w:line="360" w:lineRule="auto"/>
        <w:rPr>
          <w:rFonts w:ascii="仿宋" w:hAnsi="仿宋" w:eastAsia="仿宋"/>
          <w:sz w:val="24"/>
        </w:rPr>
      </w:pPr>
      <w:r>
        <w:rPr>
          <w:rFonts w:hint="eastAsia" w:ascii="仿宋" w:hAnsi="仿宋" w:eastAsia="仿宋"/>
          <w:sz w:val="24"/>
        </w:rPr>
        <w:t>2、循环空调柜机</w:t>
      </w:r>
    </w:p>
    <w:p>
      <w:pPr>
        <w:spacing w:line="360" w:lineRule="auto"/>
        <w:rPr>
          <w:rFonts w:ascii="仿宋" w:hAnsi="仿宋" w:eastAsia="仿宋"/>
          <w:sz w:val="24"/>
        </w:rPr>
      </w:pPr>
      <w:r>
        <w:rPr>
          <w:rFonts w:hint="eastAsia" w:ascii="仿宋" w:hAnsi="仿宋" w:eastAsia="仿宋"/>
          <w:sz w:val="24"/>
        </w:rPr>
        <w:t xml:space="preserve">（1） 初效过滤器：更换周期为1次/3个月         </w:t>
      </w:r>
    </w:p>
    <w:p>
      <w:pPr>
        <w:spacing w:line="360" w:lineRule="auto"/>
        <w:rPr>
          <w:rFonts w:ascii="仿宋" w:hAnsi="仿宋" w:eastAsia="仿宋"/>
          <w:sz w:val="24"/>
        </w:rPr>
      </w:pPr>
      <w:r>
        <w:rPr>
          <w:rFonts w:hint="eastAsia" w:ascii="仿宋" w:hAnsi="仿宋" w:eastAsia="仿宋"/>
          <w:sz w:val="24"/>
        </w:rPr>
        <w:t>（2）中效袋式过滤器：更换周期为1次/</w:t>
      </w:r>
      <w:r>
        <w:rPr>
          <w:rFonts w:hint="eastAsia" w:ascii="仿宋" w:hAnsi="仿宋" w:eastAsia="仿宋"/>
          <w:sz w:val="24"/>
          <w:lang w:val="en-US" w:eastAsia="zh-CN"/>
        </w:rPr>
        <w:t>6</w:t>
      </w:r>
      <w:r>
        <w:rPr>
          <w:rFonts w:hint="eastAsia" w:ascii="仿宋" w:hAnsi="仿宋" w:eastAsia="仿宋"/>
          <w:sz w:val="24"/>
        </w:rPr>
        <w:t xml:space="preserve">个月        </w:t>
      </w:r>
    </w:p>
    <w:p>
      <w:pPr>
        <w:spacing w:line="360" w:lineRule="auto"/>
        <w:rPr>
          <w:rFonts w:ascii="仿宋" w:hAnsi="仿宋" w:eastAsia="仿宋"/>
          <w:sz w:val="24"/>
        </w:rPr>
      </w:pPr>
      <w:r>
        <w:rPr>
          <w:rFonts w:hint="eastAsia" w:ascii="仿宋" w:hAnsi="仿宋" w:eastAsia="仿宋"/>
          <w:sz w:val="24"/>
        </w:rPr>
        <w:t>（3） 亚高效过滤器：更换周期为1次/</w:t>
      </w:r>
      <w:r>
        <w:rPr>
          <w:rFonts w:hint="eastAsia" w:ascii="仿宋" w:hAnsi="仿宋" w:eastAsia="仿宋"/>
          <w:sz w:val="24"/>
          <w:lang w:val="en-US" w:eastAsia="zh-CN"/>
        </w:rPr>
        <w:t>12</w:t>
      </w:r>
      <w:r>
        <w:rPr>
          <w:rFonts w:hint="eastAsia" w:ascii="仿宋" w:hAnsi="仿宋" w:eastAsia="仿宋"/>
          <w:sz w:val="24"/>
        </w:rPr>
        <w:t xml:space="preserve">个月         </w:t>
      </w:r>
    </w:p>
    <w:p>
      <w:pPr>
        <w:spacing w:line="360" w:lineRule="auto"/>
        <w:rPr>
          <w:rFonts w:ascii="仿宋" w:hAnsi="仿宋" w:eastAsia="仿宋"/>
          <w:sz w:val="24"/>
        </w:rPr>
      </w:pPr>
      <w:r>
        <w:rPr>
          <w:rFonts w:hint="eastAsia" w:ascii="仿宋" w:hAnsi="仿宋" w:eastAsia="仿宋"/>
          <w:sz w:val="24"/>
        </w:rPr>
        <w:t>3、中效回风口的过滤器：更换周期为1次/</w:t>
      </w:r>
      <w:r>
        <w:rPr>
          <w:rFonts w:hint="eastAsia" w:ascii="仿宋" w:hAnsi="仿宋" w:eastAsia="仿宋"/>
          <w:sz w:val="24"/>
          <w:lang w:val="en-US" w:eastAsia="zh-CN"/>
        </w:rPr>
        <w:t>6</w:t>
      </w:r>
      <w:r>
        <w:rPr>
          <w:rFonts w:hint="eastAsia" w:ascii="仿宋" w:hAnsi="仿宋" w:eastAsia="仿宋"/>
          <w:sz w:val="24"/>
        </w:rPr>
        <w:t xml:space="preserve">个月    </w:t>
      </w:r>
    </w:p>
    <w:p>
      <w:pPr>
        <w:spacing w:line="360" w:lineRule="auto"/>
        <w:rPr>
          <w:rFonts w:ascii="仿宋" w:hAnsi="仿宋" w:eastAsia="仿宋"/>
          <w:sz w:val="24"/>
        </w:rPr>
      </w:pPr>
      <w:r>
        <w:rPr>
          <w:rFonts w:hint="eastAsia" w:ascii="仿宋" w:hAnsi="仿宋" w:eastAsia="仿宋"/>
          <w:sz w:val="24"/>
        </w:rPr>
        <w:t>4 铝网和尼龙网过滤器：定期半个月清洗一次（视具体情况更换）。</w:t>
      </w:r>
    </w:p>
    <w:p>
      <w:pPr>
        <w:spacing w:line="360" w:lineRule="auto"/>
        <w:rPr>
          <w:rFonts w:ascii="仿宋" w:hAnsi="仿宋" w:eastAsia="仿宋"/>
          <w:sz w:val="24"/>
        </w:rPr>
      </w:pPr>
      <w:r>
        <w:rPr>
          <w:rFonts w:hint="eastAsia" w:ascii="仿宋" w:hAnsi="仿宋" w:eastAsia="仿宋"/>
          <w:sz w:val="24"/>
        </w:rPr>
        <w:t>5、 高效过滤器：通用情况下更换周期为12个月（一年），不同科室在周期内可根据时间情况需要进行更换。</w:t>
      </w:r>
    </w:p>
    <w:p>
      <w:pPr>
        <w:spacing w:line="360" w:lineRule="auto"/>
        <w:rPr>
          <w:rFonts w:ascii="仿宋" w:hAnsi="仿宋" w:eastAsia="仿宋"/>
          <w:sz w:val="24"/>
        </w:rPr>
      </w:pPr>
      <w:r>
        <w:rPr>
          <w:rFonts w:hint="eastAsia" w:ascii="仿宋" w:hAnsi="仿宋" w:eastAsia="仿宋"/>
          <w:sz w:val="24"/>
        </w:rPr>
        <w:t>6、排风系统的过滤器</w:t>
      </w:r>
    </w:p>
    <w:p>
      <w:pPr>
        <w:spacing w:line="360" w:lineRule="auto"/>
        <w:rPr>
          <w:rFonts w:ascii="仿宋" w:hAnsi="仿宋" w:eastAsia="仿宋"/>
          <w:sz w:val="24"/>
        </w:rPr>
      </w:pPr>
      <w:r>
        <w:rPr>
          <w:rFonts w:hint="eastAsia" w:ascii="仿宋" w:hAnsi="仿宋" w:eastAsia="仿宋"/>
          <w:sz w:val="24"/>
        </w:rPr>
        <w:t xml:space="preserve">（1）初效过滤器：更换周期为1次/3个月 。        </w:t>
      </w:r>
    </w:p>
    <w:p>
      <w:pPr>
        <w:spacing w:line="360" w:lineRule="auto"/>
        <w:rPr>
          <w:rFonts w:ascii="仿宋" w:hAnsi="仿宋" w:eastAsia="仿宋"/>
          <w:sz w:val="24"/>
        </w:rPr>
      </w:pPr>
      <w:r>
        <w:rPr>
          <w:rFonts w:hint="eastAsia" w:ascii="仿宋" w:hAnsi="仿宋" w:eastAsia="仿宋"/>
          <w:sz w:val="24"/>
        </w:rPr>
        <w:t>（2）中效袋式过滤器：更换周期为1次/</w:t>
      </w:r>
      <w:r>
        <w:rPr>
          <w:rFonts w:hint="eastAsia" w:ascii="仿宋" w:hAnsi="仿宋" w:eastAsia="仿宋"/>
          <w:sz w:val="24"/>
          <w:lang w:val="en-US" w:eastAsia="zh-CN"/>
        </w:rPr>
        <w:t>6</w:t>
      </w:r>
      <w:r>
        <w:rPr>
          <w:rFonts w:hint="eastAsia" w:ascii="仿宋" w:hAnsi="仿宋" w:eastAsia="仿宋"/>
          <w:sz w:val="24"/>
        </w:rPr>
        <w:t xml:space="preserve">个月 。        </w:t>
      </w:r>
    </w:p>
    <w:p>
      <w:pPr>
        <w:spacing w:line="360" w:lineRule="auto"/>
        <w:rPr>
          <w:rFonts w:ascii="仿宋" w:hAnsi="仿宋" w:eastAsia="仿宋"/>
          <w:sz w:val="24"/>
        </w:rPr>
      </w:pPr>
      <w:r>
        <w:rPr>
          <w:rFonts w:hint="eastAsia" w:ascii="仿宋" w:hAnsi="仿宋" w:eastAsia="仿宋"/>
          <w:sz w:val="24"/>
        </w:rPr>
        <w:t>（3）亚高效过滤器： 更换周期为1次/</w:t>
      </w:r>
      <w:r>
        <w:rPr>
          <w:rFonts w:hint="eastAsia" w:ascii="仿宋" w:hAnsi="仿宋" w:eastAsia="仿宋"/>
          <w:sz w:val="24"/>
          <w:lang w:val="en-US" w:eastAsia="zh-CN"/>
        </w:rPr>
        <w:t>12</w:t>
      </w:r>
      <w:r>
        <w:rPr>
          <w:rFonts w:hint="eastAsia" w:ascii="仿宋" w:hAnsi="仿宋" w:eastAsia="仿宋"/>
          <w:sz w:val="24"/>
        </w:rPr>
        <w:t xml:space="preserve">个月。  </w:t>
      </w:r>
    </w:p>
    <w:p>
      <w:pPr>
        <w:spacing w:line="360" w:lineRule="auto"/>
        <w:rPr>
          <w:rFonts w:ascii="仿宋" w:hAnsi="仿宋" w:eastAsia="仿宋"/>
          <w:sz w:val="24"/>
        </w:rPr>
      </w:pPr>
      <w:r>
        <w:rPr>
          <w:rFonts w:hint="eastAsia" w:ascii="仿宋" w:hAnsi="仿宋" w:eastAsia="仿宋"/>
          <w:sz w:val="24"/>
        </w:rPr>
        <w:t>（二）安装、调试要求：</w:t>
      </w:r>
    </w:p>
    <w:p>
      <w:pPr>
        <w:spacing w:line="360" w:lineRule="auto"/>
        <w:rPr>
          <w:rFonts w:ascii="仿宋" w:hAnsi="仿宋" w:eastAsia="仿宋"/>
          <w:sz w:val="24"/>
        </w:rPr>
      </w:pPr>
      <w:r>
        <w:rPr>
          <w:rFonts w:hint="eastAsia" w:ascii="仿宋" w:hAnsi="仿宋" w:eastAsia="仿宋"/>
          <w:sz w:val="24"/>
        </w:rPr>
        <w:t xml:space="preserve">1、 根据甲方规定的过滤器更换周期，乙方需提前做好过滤器更换计划和备货，计划提交甲方审核后实施。遇突发情况如收治传染病病人，要求乙方收到通知后的24小时以内完成过滤器更换。   </w:t>
      </w:r>
    </w:p>
    <w:p>
      <w:pPr>
        <w:spacing w:line="360" w:lineRule="auto"/>
        <w:rPr>
          <w:rFonts w:ascii="仿宋" w:hAnsi="仿宋" w:eastAsia="仿宋"/>
          <w:sz w:val="24"/>
        </w:rPr>
      </w:pPr>
      <w:r>
        <w:rPr>
          <w:rFonts w:hint="eastAsia" w:ascii="仿宋" w:hAnsi="仿宋" w:eastAsia="仿宋"/>
          <w:sz w:val="24"/>
        </w:rPr>
        <w:t>2、 由于甲方部分洁净科室工作的特殊性，过滤器安装或检测工作要求乙方提前3-5天与相关科室沟通协调安装、检测的具体时间。</w:t>
      </w:r>
    </w:p>
    <w:p>
      <w:pPr>
        <w:spacing w:line="360" w:lineRule="auto"/>
        <w:rPr>
          <w:rFonts w:ascii="仿宋" w:hAnsi="仿宋" w:eastAsia="仿宋"/>
          <w:sz w:val="24"/>
        </w:rPr>
      </w:pPr>
      <w:r>
        <w:rPr>
          <w:rFonts w:hint="eastAsia" w:ascii="仿宋" w:hAnsi="仿宋" w:eastAsia="仿宋"/>
          <w:sz w:val="24"/>
        </w:rPr>
        <w:t>3、所有进入洁净区参与现场服务的乙方人员，须佩戴无尘鞋、口罩、无尘服；高危病菌区域须穿着一级防护才可以进入。新冠肺炎疫情及其他重大疫情防控期间，为确保甲方各院区各科室人员安全，乙方需按照甲方疫情防控规定管理，凡参与过滤器安装及洁净科室检测的服务人员需按甲方的相关疫情管理规定，做好防护措施，方可上岗操作。</w:t>
      </w:r>
    </w:p>
    <w:p>
      <w:pPr>
        <w:spacing w:line="360" w:lineRule="auto"/>
        <w:rPr>
          <w:rFonts w:ascii="仿宋" w:hAnsi="仿宋" w:eastAsia="仿宋"/>
          <w:sz w:val="24"/>
        </w:rPr>
      </w:pPr>
      <w:r>
        <w:rPr>
          <w:rFonts w:hint="eastAsia" w:ascii="仿宋" w:hAnsi="仿宋" w:eastAsia="仿宋"/>
          <w:sz w:val="24"/>
        </w:rPr>
        <w:t>4、 为不耽误甲方各院区各科室工作，安装过程必须快速、高效地进行，人员配备要求如下：</w:t>
      </w:r>
    </w:p>
    <w:p>
      <w:pPr>
        <w:spacing w:line="360" w:lineRule="auto"/>
        <w:rPr>
          <w:rFonts w:ascii="仿宋" w:hAnsi="仿宋" w:eastAsia="仿宋"/>
          <w:sz w:val="24"/>
        </w:rPr>
      </w:pPr>
      <w:r>
        <w:rPr>
          <w:rFonts w:hint="eastAsia" w:ascii="仿宋" w:hAnsi="仿宋" w:eastAsia="仿宋"/>
          <w:sz w:val="24"/>
        </w:rPr>
        <w:t>（1） 投入本项目的团队人员不少于10人，设项目经理1人，负责本项目的24小时联络、施工组织、技术咨询工作，其余不少于9人为现场过滤器安装更换人员。项目经理需具有机电类中级工程师或以上职称，安装技术员需具有《特种作业操作证》（作业类别：制冷与空调作业）资质；其他服务人员在安装、调试过程中提供技术服务，按甲方维修具体内容负责对中央空调设备进行认真有序的安装、调试，确保甲方洁净中央空调系统安全、可靠、高效、无故障运行。</w:t>
      </w:r>
    </w:p>
    <w:p>
      <w:pPr>
        <w:spacing w:line="360" w:lineRule="auto"/>
        <w:rPr>
          <w:rFonts w:ascii="仿宋" w:hAnsi="仿宋" w:eastAsia="仿宋"/>
          <w:sz w:val="24"/>
        </w:rPr>
      </w:pPr>
      <w:r>
        <w:rPr>
          <w:rFonts w:hint="eastAsia" w:ascii="仿宋" w:hAnsi="仿宋" w:eastAsia="仿宋"/>
          <w:sz w:val="24"/>
        </w:rPr>
        <w:t>（2）乙方自备安装过程所需的物件并承担所有费用。</w:t>
      </w:r>
    </w:p>
    <w:p>
      <w:pPr>
        <w:spacing w:line="360" w:lineRule="auto"/>
        <w:rPr>
          <w:rFonts w:ascii="仿宋" w:hAnsi="仿宋" w:eastAsia="仿宋"/>
          <w:sz w:val="24"/>
        </w:rPr>
      </w:pPr>
      <w:r>
        <w:rPr>
          <w:rFonts w:hint="eastAsia" w:ascii="仿宋" w:hAnsi="仿宋" w:eastAsia="仿宋"/>
          <w:sz w:val="24"/>
        </w:rPr>
        <w:t>（3）服务期间，乙方服务人员应遵纪守法，佩戴有效工作证件，遵守甲方的各项规章管理制度，如服务人员不服从甲方现场工作人员的指挥管理，甲方有权要求乙方更换服务人员。</w:t>
      </w:r>
    </w:p>
    <w:p>
      <w:pPr>
        <w:spacing w:line="360" w:lineRule="auto"/>
        <w:rPr>
          <w:rFonts w:ascii="仿宋" w:hAnsi="仿宋" w:eastAsia="仿宋"/>
          <w:sz w:val="24"/>
        </w:rPr>
      </w:pPr>
      <w:r>
        <w:rPr>
          <w:rFonts w:hint="eastAsia" w:ascii="仿宋" w:hAnsi="仿宋" w:eastAsia="仿宋"/>
          <w:sz w:val="24"/>
        </w:rPr>
        <w:t>5、过滤器更换安装要求：</w:t>
      </w:r>
    </w:p>
    <w:p>
      <w:pPr>
        <w:spacing w:line="360" w:lineRule="auto"/>
        <w:rPr>
          <w:rFonts w:ascii="仿宋" w:hAnsi="仿宋" w:eastAsia="仿宋"/>
          <w:sz w:val="24"/>
        </w:rPr>
      </w:pPr>
      <w:r>
        <w:rPr>
          <w:rFonts w:hint="eastAsia" w:ascii="仿宋" w:hAnsi="仿宋" w:eastAsia="仿宋"/>
          <w:sz w:val="24"/>
        </w:rPr>
        <w:t>（1） 各类过滤器在安装前，不允许打开包装袋或包装膜；并按包装箱上标注的方向存放过滤器；在搬运过程中，应轻拿、轻放，避免剧烈的振动和碰撞。</w:t>
      </w:r>
    </w:p>
    <w:p>
      <w:pPr>
        <w:spacing w:line="360" w:lineRule="auto"/>
        <w:rPr>
          <w:rFonts w:ascii="仿宋" w:hAnsi="仿宋" w:eastAsia="仿宋"/>
          <w:sz w:val="24"/>
        </w:rPr>
      </w:pPr>
      <w:r>
        <w:rPr>
          <w:rFonts w:hint="eastAsia" w:ascii="仿宋" w:hAnsi="仿宋" w:eastAsia="仿宋"/>
          <w:sz w:val="24"/>
        </w:rPr>
        <w:t>（2）过滤器安装前，应对洁净室进行全面清扫、擦净；净化空调系统内部如有积尘，应再次清扫、擦净，达到清洁要求。如在技术夹层或吊顶内安装高效过滤器，则技术夹层或吊顶内也应进行全面清扫、擦净。</w:t>
      </w:r>
    </w:p>
    <w:p>
      <w:pPr>
        <w:spacing w:line="360" w:lineRule="auto"/>
        <w:rPr>
          <w:rFonts w:ascii="仿宋" w:hAnsi="仿宋" w:eastAsia="仿宋"/>
          <w:sz w:val="24"/>
        </w:rPr>
      </w:pPr>
      <w:r>
        <w:rPr>
          <w:rFonts w:hint="eastAsia" w:ascii="仿宋" w:hAnsi="仿宋" w:eastAsia="仿宋"/>
          <w:sz w:val="24"/>
        </w:rPr>
        <w:t>（3）高效过滤器安装前，应在安装现场拆开包装进行外观检查，内容包括：滤纸、密封胶和框架有无损坏；边长、对角线和厚度尺寸是否符合要求；框架有无毛刺和锈斑（金属框）；有无产品合格证，技术性能是否符合设计要求。然后按照国家标准《洁净室施工及验收规范》〔</w:t>
      </w:r>
      <w:r>
        <w:rPr>
          <w:rFonts w:ascii="仿宋" w:hAnsi="仿宋" w:eastAsia="仿宋"/>
          <w:sz w:val="24"/>
        </w:rPr>
        <w:t>GB 50591-2010</w:t>
      </w:r>
      <w:r>
        <w:rPr>
          <w:rFonts w:hint="eastAsia" w:ascii="仿宋" w:hAnsi="仿宋" w:eastAsia="仿宋"/>
          <w:sz w:val="24"/>
        </w:rPr>
        <w:t>〕 的规定的方法进行检查，合格的应立即安装。安装高效过滤器时，外框上箭头应和气流方向一致；当其垂直安装时，滤纸折痕方向应垂直于地面。</w:t>
      </w:r>
    </w:p>
    <w:p>
      <w:pPr>
        <w:spacing w:line="360" w:lineRule="auto"/>
        <w:rPr>
          <w:rFonts w:ascii="仿宋" w:hAnsi="仿宋" w:eastAsia="仿宋"/>
          <w:sz w:val="24"/>
        </w:rPr>
      </w:pPr>
      <w:r>
        <w:rPr>
          <w:rFonts w:hint="eastAsia" w:ascii="仿宋" w:hAnsi="仿宋" w:eastAsia="仿宋"/>
          <w:sz w:val="24"/>
        </w:rPr>
        <w:t xml:space="preserve">（4）安装初效平板式或折叠式过滤器，应使镀锌网面在出风背面方向。安装中效袋式过滤器，则应使滤袋长度方向垂直于地面，不可使滤袋方向平行于地面安装； </w:t>
      </w:r>
    </w:p>
    <w:p>
      <w:pPr>
        <w:spacing w:line="360" w:lineRule="auto"/>
        <w:rPr>
          <w:rFonts w:ascii="仿宋" w:hAnsi="仿宋" w:eastAsia="仿宋"/>
          <w:sz w:val="24"/>
        </w:rPr>
      </w:pPr>
      <w:r>
        <w:rPr>
          <w:rFonts w:hint="eastAsia" w:ascii="仿宋" w:hAnsi="仿宋" w:eastAsia="仿宋"/>
          <w:sz w:val="24"/>
        </w:rPr>
        <w:t>6、洁净空调柜机初、中、亚高效过滤端安装前后须定期用干抹布或其它工具进行清扫，保持空调处于洁净工作状态。</w:t>
      </w:r>
    </w:p>
    <w:p>
      <w:pPr>
        <w:spacing w:line="360" w:lineRule="auto"/>
        <w:rPr>
          <w:rFonts w:ascii="仿宋" w:hAnsi="仿宋" w:eastAsia="仿宋"/>
          <w:sz w:val="24"/>
        </w:rPr>
      </w:pPr>
      <w:r>
        <w:rPr>
          <w:rFonts w:hint="eastAsia" w:ascii="仿宋" w:hAnsi="仿宋" w:eastAsia="仿宋"/>
          <w:sz w:val="24"/>
        </w:rPr>
        <w:t>7、每次过滤器安装完毕后，乙方需提交经甲方管理人员签名确认的空气过滤器安装明细、空调柜机清扫记录表。</w:t>
      </w:r>
    </w:p>
    <w:p>
      <w:pPr>
        <w:spacing w:line="360" w:lineRule="auto"/>
        <w:rPr>
          <w:rFonts w:ascii="仿宋" w:hAnsi="仿宋" w:eastAsia="仿宋"/>
          <w:sz w:val="24"/>
        </w:rPr>
      </w:pPr>
      <w:r>
        <w:rPr>
          <w:rFonts w:hint="eastAsia" w:ascii="仿宋" w:hAnsi="仿宋" w:eastAsia="仿宋"/>
          <w:sz w:val="24"/>
        </w:rPr>
        <w:t>8、安装结束后所有系统调试：按国家相关施工验收规范进行，分阶段进行调试。</w:t>
      </w:r>
    </w:p>
    <w:p>
      <w:pPr>
        <w:spacing w:line="360" w:lineRule="auto"/>
        <w:rPr>
          <w:rFonts w:ascii="仿宋" w:hAnsi="仿宋" w:eastAsia="仿宋"/>
          <w:sz w:val="24"/>
        </w:rPr>
      </w:pPr>
      <w:r>
        <w:rPr>
          <w:rFonts w:hint="eastAsia" w:ascii="仿宋" w:hAnsi="仿宋" w:eastAsia="仿宋"/>
          <w:sz w:val="24"/>
        </w:rPr>
        <w:t xml:space="preserve">9、 安装、调试所需工具设施、材料由乙方运到现场，完工后搬走，此项费用包含在合同总价中。 </w:t>
      </w:r>
    </w:p>
    <w:p>
      <w:pPr>
        <w:spacing w:line="360" w:lineRule="auto"/>
        <w:rPr>
          <w:rFonts w:ascii="仿宋" w:hAnsi="仿宋" w:eastAsia="仿宋"/>
          <w:sz w:val="24"/>
        </w:rPr>
      </w:pPr>
      <w:r>
        <w:rPr>
          <w:rFonts w:hint="eastAsia" w:ascii="仿宋" w:hAnsi="仿宋" w:eastAsia="仿宋"/>
          <w:sz w:val="24"/>
        </w:rPr>
        <w:t>（三）其它要求：</w:t>
      </w:r>
    </w:p>
    <w:p>
      <w:pPr>
        <w:spacing w:line="360" w:lineRule="auto"/>
        <w:rPr>
          <w:rFonts w:ascii="仿宋" w:hAnsi="仿宋" w:eastAsia="仿宋"/>
          <w:sz w:val="24"/>
        </w:rPr>
      </w:pPr>
      <w:r>
        <w:rPr>
          <w:rFonts w:hint="eastAsia" w:ascii="仿宋" w:hAnsi="仿宋" w:eastAsia="仿宋"/>
          <w:sz w:val="24"/>
        </w:rPr>
        <w:t xml:space="preserve">1、 在安装环境外围除去产品外包装，保留内包装防止外包装对施工场地造成污染，同时保护产品不受污染。 </w:t>
      </w:r>
    </w:p>
    <w:p>
      <w:pPr>
        <w:spacing w:line="360" w:lineRule="auto"/>
        <w:rPr>
          <w:rFonts w:ascii="仿宋" w:hAnsi="仿宋" w:eastAsia="仿宋"/>
          <w:sz w:val="24"/>
        </w:rPr>
      </w:pPr>
      <w:r>
        <w:rPr>
          <w:rFonts w:hint="eastAsia" w:ascii="仿宋" w:hAnsi="仿宋" w:eastAsia="仿宋"/>
          <w:sz w:val="24"/>
        </w:rPr>
        <w:t xml:space="preserve">2、对于必须进入施工场地的施工工具进行清洁处理，条件允许使用酒精清洁、消毒。 </w:t>
      </w:r>
    </w:p>
    <w:p>
      <w:pPr>
        <w:spacing w:line="360" w:lineRule="auto"/>
        <w:rPr>
          <w:rFonts w:ascii="仿宋" w:hAnsi="仿宋" w:eastAsia="仿宋"/>
          <w:sz w:val="24"/>
        </w:rPr>
      </w:pPr>
      <w:r>
        <w:rPr>
          <w:rFonts w:hint="eastAsia" w:ascii="仿宋" w:hAnsi="仿宋" w:eastAsia="仿宋"/>
          <w:sz w:val="24"/>
        </w:rPr>
        <w:t xml:space="preserve">3、进入室内洁净场地施工时，施工人员需穿戴洁净无尘工作服。进入工作场地后首先注意观察室内设备物品，必要时对现场设备做适当防护。 </w:t>
      </w:r>
    </w:p>
    <w:p>
      <w:pPr>
        <w:spacing w:line="360" w:lineRule="auto"/>
        <w:rPr>
          <w:rFonts w:ascii="仿宋" w:hAnsi="仿宋" w:eastAsia="仿宋"/>
          <w:sz w:val="24"/>
        </w:rPr>
      </w:pPr>
      <w:r>
        <w:rPr>
          <w:rFonts w:hint="eastAsia" w:ascii="仿宋" w:hAnsi="仿宋" w:eastAsia="仿宋"/>
          <w:sz w:val="24"/>
        </w:rPr>
        <w:t xml:space="preserve">4、安装更换产品时应仔细确认产品的完好性，现场原有设备是否还正常，排除原有设备因时间久而容易出现的问题，主要是原有设备老化后容易出现的泄漏。 </w:t>
      </w:r>
    </w:p>
    <w:p>
      <w:pPr>
        <w:spacing w:line="360" w:lineRule="auto"/>
        <w:rPr>
          <w:rFonts w:ascii="仿宋" w:hAnsi="仿宋" w:eastAsia="仿宋"/>
          <w:sz w:val="24"/>
        </w:rPr>
      </w:pPr>
      <w:r>
        <w:rPr>
          <w:rFonts w:hint="eastAsia" w:ascii="仿宋" w:hAnsi="仿宋" w:eastAsia="仿宋"/>
          <w:sz w:val="24"/>
        </w:rPr>
        <w:t xml:space="preserve">5、 安装时确保安装更换后的产品与原设备的密闭性，必要时需用专业检测设备检测，安装前应对产品相关部位进行清洁消毒，相关的清洁消毒用品费用包含在合同价格中。同时，对产品安装需按相关注意事项进行，不能在安装时对产品造成损坏。 </w:t>
      </w:r>
    </w:p>
    <w:p>
      <w:pPr>
        <w:spacing w:line="360" w:lineRule="auto"/>
        <w:rPr>
          <w:rFonts w:ascii="仿宋" w:hAnsi="仿宋" w:eastAsia="仿宋"/>
          <w:sz w:val="24"/>
        </w:rPr>
      </w:pPr>
      <w:r>
        <w:rPr>
          <w:rFonts w:hint="eastAsia" w:ascii="仿宋" w:hAnsi="仿宋" w:eastAsia="仿宋"/>
          <w:sz w:val="24"/>
        </w:rPr>
        <w:t xml:space="preserve">6、 安装时如有需要移动物品应先征得甲方许可，不可贸然行事，事后需还原位置。安装期间，乙方须对安装场地内的其他设备、设施作相应保护措施；若因乙方过错，造成甲方财产或人身损害，乙方承担一切法律责任和经济损失。乙方需严格按照甲方的指定时间安装，不得影响甲方的正常医疗秩序，如涉及的加班费用包含在合同价格中，甲方不另行支付。 </w:t>
      </w:r>
    </w:p>
    <w:p>
      <w:pPr>
        <w:spacing w:line="360" w:lineRule="auto"/>
        <w:rPr>
          <w:rFonts w:ascii="仿宋" w:hAnsi="仿宋" w:eastAsia="仿宋"/>
          <w:sz w:val="24"/>
        </w:rPr>
      </w:pPr>
      <w:r>
        <w:rPr>
          <w:rFonts w:hint="eastAsia" w:ascii="仿宋" w:hAnsi="仿宋" w:eastAsia="仿宋"/>
          <w:sz w:val="24"/>
        </w:rPr>
        <w:t>7、 乙方完成安装更换后需对残留旧产品和包装品进行整理处理，特别注意旧产品的处理，防止对场地环境造成污染。乙方人员离开时需将包装材料放在甲方指定处理区域；更换后旧的过滤器由乙方带离医院并做合规处理，该项费用包含在合同价格中。</w:t>
      </w:r>
    </w:p>
    <w:p>
      <w:pPr>
        <w:spacing w:line="360" w:lineRule="auto"/>
        <w:rPr>
          <w:rFonts w:ascii="仿宋" w:hAnsi="仿宋" w:eastAsia="仿宋"/>
          <w:sz w:val="24"/>
        </w:rPr>
      </w:pPr>
      <w:r>
        <w:rPr>
          <w:rFonts w:hint="eastAsia" w:ascii="仿宋" w:hAnsi="仿宋" w:eastAsia="仿宋"/>
          <w:sz w:val="24"/>
        </w:rPr>
        <w:t>8、 乙方作为相关货物安装、维护、检测的安全负责人，对相关货物安装、维护等工作安全负责。乙方须采取一切措施对相关货物安装、维护、检测等环节进行安全保护管理，杜绝一切安全事故。因乙方的过错（包括故意和管理过失）发生操作、消防、用电等事故，由乙方承担一切责任，因非可归咎于甲方的原因而发生人身伤亡或财产损失事件的，甲方不承担任何责任。</w:t>
      </w:r>
    </w:p>
    <w:p>
      <w:pPr>
        <w:spacing w:line="360" w:lineRule="auto"/>
        <w:rPr>
          <w:rFonts w:ascii="仿宋" w:hAnsi="仿宋" w:eastAsia="仿宋"/>
          <w:sz w:val="24"/>
        </w:rPr>
      </w:pPr>
      <w:r>
        <w:rPr>
          <w:rFonts w:hint="eastAsia" w:ascii="仿宋" w:hAnsi="仿宋" w:eastAsia="仿宋"/>
          <w:sz w:val="24"/>
        </w:rPr>
        <w:t>9、 乙方在实施货物供货期间，不得将供货的实际数量及甲方相关信息泄露给其他企业或者个人，送货人员需注意甲方、病人的隐私，未经甲方许可，不得随意进出甲方科室、诊室。乙方必须指派相对固定的人员完成货物配送 服务，货物配送人员必须遵纪守法、品行良好，无违法犯罪记录。</w:t>
      </w:r>
    </w:p>
    <w:p>
      <w:pPr>
        <w:spacing w:line="360" w:lineRule="auto"/>
        <w:rPr>
          <w:rFonts w:ascii="仿宋" w:hAnsi="仿宋" w:eastAsia="仿宋"/>
          <w:sz w:val="24"/>
        </w:rPr>
      </w:pPr>
      <w:r>
        <w:rPr>
          <w:rFonts w:hint="eastAsia" w:ascii="仿宋" w:hAnsi="仿宋" w:eastAsia="仿宋"/>
          <w:sz w:val="24"/>
        </w:rPr>
        <w:t>10、乙方向甲方的相关管理人员提供基本操作培训和常见故障排除培训（≥1次/年），此项费用包含在合同价格中，甲方不另行支付费用。</w:t>
      </w:r>
    </w:p>
    <w:p>
      <w:pPr>
        <w:spacing w:line="360" w:lineRule="auto"/>
        <w:rPr>
          <w:rFonts w:ascii="仿宋" w:hAnsi="仿宋" w:eastAsia="仿宋"/>
          <w:sz w:val="24"/>
        </w:rPr>
      </w:pPr>
      <w:r>
        <w:rPr>
          <w:rFonts w:hint="eastAsia" w:ascii="仿宋" w:hAnsi="仿宋" w:eastAsia="仿宋"/>
          <w:sz w:val="24"/>
        </w:rPr>
        <w:t>2. 为保证高效空气过滤器产品质量，乙方交货时须提供HV超细玻璃纤维滤纸材料来料证明的相关文件。</w:t>
      </w:r>
    </w:p>
    <w:p>
      <w:pPr>
        <w:spacing w:line="360" w:lineRule="auto"/>
        <w:rPr>
          <w:rFonts w:ascii="仿宋" w:hAnsi="仿宋" w:eastAsia="仿宋"/>
          <w:sz w:val="24"/>
        </w:rPr>
      </w:pPr>
      <w:r>
        <w:rPr>
          <w:rFonts w:hint="eastAsia" w:ascii="仿宋" w:hAnsi="仿宋" w:eastAsia="仿宋"/>
          <w:sz w:val="24"/>
        </w:rPr>
        <w:t>3. 所有货物保修服务均由乙方上门保修，即由乙方派员到货物使用现场维修，由此产生的一切费用包含在合同价格中，甲方不另行支付费用。</w:t>
      </w:r>
    </w:p>
    <w:p>
      <w:pPr>
        <w:spacing w:line="360" w:lineRule="auto"/>
        <w:rPr>
          <w:rFonts w:ascii="仿宋" w:hAnsi="仿宋" w:eastAsia="仿宋"/>
          <w:sz w:val="24"/>
        </w:rPr>
      </w:pPr>
      <w:r>
        <w:rPr>
          <w:rFonts w:hint="eastAsia" w:ascii="仿宋" w:hAnsi="仿宋" w:eastAsia="仿宋"/>
          <w:sz w:val="24"/>
        </w:rPr>
        <w:t>4. 乙方完成有关区域的高效过滤器更换后，甲方将委托第三方检测单位对洁净度进行检测，如检测合格，检测费用由甲方支付；如检测结果不达标，检测费用以及后续再检测费用由乙方承担。</w:t>
      </w:r>
    </w:p>
    <w:p>
      <w:pPr>
        <w:spacing w:line="360" w:lineRule="auto"/>
        <w:ind w:left="480" w:hanging="480" w:hangingChars="200"/>
        <w:jc w:val="left"/>
        <w:rPr>
          <w:rFonts w:ascii="仿宋" w:hAnsi="仿宋" w:eastAsia="仿宋"/>
          <w:sz w:val="24"/>
        </w:rPr>
      </w:pPr>
      <w:r>
        <w:rPr>
          <w:rFonts w:hint="eastAsia" w:ascii="仿宋" w:hAnsi="仿宋" w:eastAsia="仿宋"/>
          <w:sz w:val="24"/>
        </w:rPr>
        <w:t>（四）、检测要求：</w:t>
      </w:r>
    </w:p>
    <w:p>
      <w:pPr>
        <w:spacing w:line="360" w:lineRule="auto"/>
        <w:ind w:left="480" w:hanging="480" w:hangingChars="200"/>
        <w:jc w:val="left"/>
        <w:rPr>
          <w:rFonts w:ascii="仿宋" w:hAnsi="仿宋" w:eastAsia="仿宋"/>
          <w:sz w:val="24"/>
        </w:rPr>
      </w:pPr>
      <w:r>
        <w:rPr>
          <w:rFonts w:hint="eastAsia" w:ascii="仿宋" w:hAnsi="仿宋" w:eastAsia="仿宋"/>
          <w:sz w:val="24"/>
        </w:rPr>
        <w:t>1、甲方各院区洁净等级要求：</w:t>
      </w:r>
    </w:p>
    <w:p>
      <w:pPr>
        <w:spacing w:line="360" w:lineRule="auto"/>
        <w:ind w:left="480" w:hanging="480" w:hangingChars="200"/>
        <w:rPr>
          <w:rFonts w:hint="eastAsia"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广州妇女儿童医疗中心增城</w:t>
      </w:r>
      <w:r>
        <w:rPr>
          <w:rFonts w:hint="eastAsia" w:ascii="仿宋" w:hAnsi="仿宋" w:eastAsia="仿宋"/>
          <w:sz w:val="24"/>
        </w:rPr>
        <w:t>院区洁净等级概况：</w:t>
      </w:r>
    </w:p>
    <w:tbl>
      <w:tblPr>
        <w:tblStyle w:val="2"/>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61"/>
        <w:gridCol w:w="2641"/>
        <w:gridCol w:w="1420"/>
        <w:gridCol w:w="1304"/>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tblHeader/>
          <w:jc w:val="center"/>
        </w:trPr>
        <w:tc>
          <w:tcPr>
            <w:tcW w:w="861" w:type="dxa"/>
            <w:shd w:val="clear" w:color="auto" w:fill="C7DAF1"/>
            <w:vAlign w:val="center"/>
          </w:tcPr>
          <w:p>
            <w:pPr>
              <w:pStyle w:val="6"/>
              <w:tabs>
                <w:tab w:val="left" w:pos="284"/>
              </w:tabs>
              <w:adjustRightInd w:val="0"/>
              <w:snapToGrid w:val="0"/>
              <w:jc w:val="center"/>
              <w:rPr>
                <w:rFonts w:hint="eastAsia" w:ascii="仿宋" w:hAnsi="仿宋" w:eastAsia="仿宋" w:cs="仿宋"/>
                <w:b/>
                <w:sz w:val="24"/>
              </w:rPr>
            </w:pPr>
            <w:r>
              <w:rPr>
                <w:rFonts w:hint="eastAsia" w:ascii="仿宋" w:hAnsi="仿宋" w:eastAsia="仿宋" w:cs="仿宋"/>
                <w:b/>
                <w:sz w:val="24"/>
              </w:rPr>
              <w:t>序号</w:t>
            </w:r>
          </w:p>
        </w:tc>
        <w:tc>
          <w:tcPr>
            <w:tcW w:w="2641" w:type="dxa"/>
            <w:shd w:val="clear" w:color="auto" w:fill="C7DAF1"/>
            <w:vAlign w:val="center"/>
          </w:tcPr>
          <w:p>
            <w:pPr>
              <w:pStyle w:val="6"/>
              <w:tabs>
                <w:tab w:val="left" w:pos="284"/>
              </w:tabs>
              <w:adjustRightInd w:val="0"/>
              <w:snapToGrid w:val="0"/>
              <w:jc w:val="center"/>
              <w:rPr>
                <w:rFonts w:hint="eastAsia" w:ascii="仿宋" w:hAnsi="仿宋" w:eastAsia="仿宋" w:cs="仿宋"/>
                <w:b/>
                <w:sz w:val="24"/>
              </w:rPr>
            </w:pPr>
            <w:r>
              <w:rPr>
                <w:rFonts w:hint="eastAsia" w:ascii="仿宋" w:hAnsi="仿宋" w:eastAsia="仿宋" w:cs="仿宋"/>
                <w:b/>
                <w:sz w:val="24"/>
              </w:rPr>
              <w:t>场地名称</w:t>
            </w:r>
          </w:p>
        </w:tc>
        <w:tc>
          <w:tcPr>
            <w:tcW w:w="1420" w:type="dxa"/>
            <w:shd w:val="clear" w:color="auto" w:fill="C7DAF1"/>
            <w:vAlign w:val="center"/>
          </w:tcPr>
          <w:p>
            <w:pPr>
              <w:pStyle w:val="6"/>
              <w:tabs>
                <w:tab w:val="left" w:pos="284"/>
              </w:tabs>
              <w:adjustRightInd w:val="0"/>
              <w:snapToGrid w:val="0"/>
              <w:jc w:val="center"/>
              <w:rPr>
                <w:rFonts w:hint="eastAsia" w:ascii="仿宋" w:hAnsi="仿宋" w:eastAsia="仿宋" w:cs="仿宋"/>
                <w:b/>
                <w:sz w:val="24"/>
              </w:rPr>
            </w:pPr>
            <w:r>
              <w:rPr>
                <w:rFonts w:hint="eastAsia" w:ascii="仿宋" w:hAnsi="仿宋" w:eastAsia="仿宋" w:cs="仿宋"/>
                <w:b/>
                <w:sz w:val="24"/>
              </w:rPr>
              <w:t>所在楼层</w:t>
            </w:r>
          </w:p>
        </w:tc>
        <w:tc>
          <w:tcPr>
            <w:tcW w:w="1304" w:type="dxa"/>
            <w:shd w:val="clear" w:color="auto" w:fill="C7DAF1"/>
            <w:vAlign w:val="center"/>
          </w:tcPr>
          <w:p>
            <w:pPr>
              <w:pStyle w:val="6"/>
              <w:tabs>
                <w:tab w:val="left" w:pos="284"/>
              </w:tabs>
              <w:adjustRightInd w:val="0"/>
              <w:snapToGrid w:val="0"/>
              <w:jc w:val="center"/>
              <w:rPr>
                <w:rFonts w:hint="eastAsia" w:ascii="仿宋" w:hAnsi="仿宋" w:eastAsia="仿宋" w:cs="仿宋"/>
                <w:b/>
                <w:sz w:val="24"/>
              </w:rPr>
            </w:pPr>
            <w:r>
              <w:rPr>
                <w:rFonts w:hint="eastAsia" w:ascii="仿宋" w:hAnsi="仿宋" w:eastAsia="仿宋" w:cs="仿宋"/>
                <w:b/>
                <w:sz w:val="24"/>
              </w:rPr>
              <w:t>洁净级别</w:t>
            </w:r>
          </w:p>
        </w:tc>
        <w:tc>
          <w:tcPr>
            <w:tcW w:w="1832" w:type="dxa"/>
            <w:shd w:val="clear" w:color="auto" w:fill="C7DAF1"/>
            <w:vAlign w:val="center"/>
          </w:tcPr>
          <w:p>
            <w:pPr>
              <w:pStyle w:val="6"/>
              <w:tabs>
                <w:tab w:val="left" w:pos="284"/>
              </w:tabs>
              <w:adjustRightInd w:val="0"/>
              <w:snapToGrid w:val="0"/>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静配中心</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住院二层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三十万级</w:t>
            </w:r>
          </w:p>
        </w:tc>
        <w:tc>
          <w:tcPr>
            <w:tcW w:w="1832"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3</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供应中心</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负一层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三十万级</w:t>
            </w:r>
          </w:p>
        </w:tc>
        <w:tc>
          <w:tcPr>
            <w:tcW w:w="1832"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急救儿科手术室</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首层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万级</w:t>
            </w:r>
          </w:p>
        </w:tc>
        <w:tc>
          <w:tcPr>
            <w:tcW w:w="1832"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急救产科手术室</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三层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万级</w:t>
            </w:r>
          </w:p>
        </w:tc>
        <w:tc>
          <w:tcPr>
            <w:tcW w:w="1832"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6</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产科手术室（2间手术室）</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住院三层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万级</w:t>
            </w:r>
          </w:p>
        </w:tc>
        <w:tc>
          <w:tcPr>
            <w:tcW w:w="1832"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1间正负压转换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7</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日间手术室（10间手术室）</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门诊四层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万级</w:t>
            </w:r>
          </w:p>
        </w:tc>
        <w:tc>
          <w:tcPr>
            <w:tcW w:w="1832"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8</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介入科（4间手术室）</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门诊楼三层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百级</w:t>
            </w:r>
          </w:p>
        </w:tc>
        <w:tc>
          <w:tcPr>
            <w:tcW w:w="1832" w:type="dxa"/>
            <w:shd w:val="clear" w:color="auto" w:fill="FFFFFF"/>
            <w:vAlign w:val="center"/>
          </w:tcPr>
          <w:p>
            <w:pPr>
              <w:pStyle w:val="6"/>
              <w:widowControl/>
              <w:tabs>
                <w:tab w:val="left" w:pos="284"/>
              </w:tabs>
              <w:adjustRightInd w:val="0"/>
              <w:snapToGrid w:val="0"/>
              <w:jc w:val="left"/>
              <w:rPr>
                <w:rFonts w:hint="eastAsia" w:ascii="仿宋" w:hAnsi="仿宋" w:eastAsia="仿宋" w:cs="仿宋"/>
                <w:kern w:val="0"/>
                <w:sz w:val="22"/>
                <w:szCs w:val="22"/>
              </w:rPr>
            </w:pPr>
            <w:r>
              <w:rPr>
                <w:rFonts w:hint="eastAsia" w:ascii="仿宋" w:hAnsi="仿宋" w:eastAsia="仿宋" w:cs="仿宋"/>
                <w:kern w:val="0"/>
                <w:sz w:val="22"/>
                <w:szCs w:val="22"/>
              </w:rPr>
              <w:t>2间百级2间万级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9</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PICU、NICU</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住院楼五层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三十万级</w:t>
            </w:r>
          </w:p>
        </w:tc>
        <w:tc>
          <w:tcPr>
            <w:tcW w:w="1832"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检验科</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住院二层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三十万级</w:t>
            </w:r>
          </w:p>
        </w:tc>
        <w:tc>
          <w:tcPr>
            <w:tcW w:w="1832" w:type="dxa"/>
            <w:shd w:val="clear" w:color="auto" w:fill="FFFFFF"/>
            <w:vAlign w:val="center"/>
          </w:tcPr>
          <w:p>
            <w:pPr>
              <w:pStyle w:val="6"/>
              <w:widowControl/>
              <w:tabs>
                <w:tab w:val="left" w:pos="284"/>
              </w:tabs>
              <w:adjustRightInd w:val="0"/>
              <w:snapToGrid w:val="0"/>
              <w:jc w:val="left"/>
              <w:rPr>
                <w:rFonts w:hint="eastAsia" w:ascii="仿宋" w:hAnsi="仿宋" w:eastAsia="仿宋" w:cs="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11</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中心手术室（12间手术室）</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门诊五层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千级</w:t>
            </w:r>
          </w:p>
        </w:tc>
        <w:tc>
          <w:tcPr>
            <w:tcW w:w="1832" w:type="dxa"/>
            <w:shd w:val="clear" w:color="auto" w:fill="FFFFFF"/>
            <w:vAlign w:val="center"/>
          </w:tcPr>
          <w:p>
            <w:pPr>
              <w:pStyle w:val="6"/>
              <w:widowControl/>
              <w:tabs>
                <w:tab w:val="left" w:pos="284"/>
              </w:tabs>
              <w:adjustRightInd w:val="0"/>
              <w:snapToGrid w:val="0"/>
              <w:jc w:val="left"/>
              <w:rPr>
                <w:rFonts w:hint="eastAsia" w:ascii="仿宋" w:hAnsi="仿宋" w:eastAsia="仿宋" w:cs="仿宋"/>
                <w:kern w:val="0"/>
                <w:sz w:val="22"/>
                <w:szCs w:val="22"/>
              </w:rPr>
            </w:pPr>
            <w:r>
              <w:rPr>
                <w:rFonts w:hint="eastAsia" w:ascii="仿宋" w:hAnsi="仿宋" w:eastAsia="仿宋" w:cs="仿宋"/>
                <w:kern w:val="0"/>
                <w:sz w:val="22"/>
                <w:szCs w:val="22"/>
              </w:rPr>
              <w:t>2间百级10千级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6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12</w:t>
            </w:r>
          </w:p>
        </w:tc>
        <w:tc>
          <w:tcPr>
            <w:tcW w:w="2641"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新生儿科</w:t>
            </w:r>
          </w:p>
        </w:tc>
        <w:tc>
          <w:tcPr>
            <w:tcW w:w="1420"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住院楼四层</w:t>
            </w:r>
          </w:p>
        </w:tc>
        <w:tc>
          <w:tcPr>
            <w:tcW w:w="1304" w:type="dxa"/>
            <w:shd w:val="clear" w:color="auto" w:fill="FFFFFF"/>
            <w:vAlign w:val="center"/>
          </w:tcPr>
          <w:p>
            <w:pPr>
              <w:pStyle w:val="6"/>
              <w:widowControl/>
              <w:tabs>
                <w:tab w:val="left" w:pos="284"/>
              </w:tabs>
              <w:adjustRightInd w:val="0"/>
              <w:snapToGrid w:val="0"/>
              <w:jc w:val="center"/>
              <w:rPr>
                <w:rFonts w:hint="eastAsia" w:ascii="仿宋" w:hAnsi="仿宋" w:eastAsia="仿宋" w:cs="仿宋"/>
                <w:kern w:val="0"/>
                <w:sz w:val="22"/>
                <w:szCs w:val="22"/>
              </w:rPr>
            </w:pPr>
            <w:r>
              <w:rPr>
                <w:rFonts w:hint="eastAsia" w:ascii="仿宋" w:hAnsi="仿宋" w:eastAsia="仿宋" w:cs="仿宋"/>
                <w:kern w:val="0"/>
                <w:sz w:val="22"/>
                <w:szCs w:val="22"/>
              </w:rPr>
              <w:t>万级</w:t>
            </w:r>
          </w:p>
        </w:tc>
        <w:tc>
          <w:tcPr>
            <w:tcW w:w="1832" w:type="dxa"/>
            <w:shd w:val="clear" w:color="auto" w:fill="FFFFFF"/>
            <w:vAlign w:val="center"/>
          </w:tcPr>
          <w:p>
            <w:pPr>
              <w:pStyle w:val="6"/>
              <w:widowControl/>
              <w:tabs>
                <w:tab w:val="left" w:pos="284"/>
              </w:tabs>
              <w:adjustRightInd w:val="0"/>
              <w:snapToGrid w:val="0"/>
              <w:jc w:val="left"/>
              <w:rPr>
                <w:rFonts w:hint="eastAsia" w:ascii="仿宋" w:hAnsi="仿宋" w:eastAsia="仿宋" w:cs="仿宋"/>
                <w:kern w:val="0"/>
                <w:sz w:val="22"/>
                <w:szCs w:val="22"/>
              </w:rPr>
            </w:pPr>
          </w:p>
        </w:tc>
      </w:tr>
    </w:tbl>
    <w:p>
      <w:pPr>
        <w:spacing w:line="360" w:lineRule="auto"/>
        <w:ind w:left="480" w:hanging="480" w:hangingChars="200"/>
        <w:rPr>
          <w:rFonts w:hint="eastAsia" w:ascii="仿宋" w:hAnsi="仿宋" w:eastAsia="仿宋"/>
          <w:sz w:val="24"/>
        </w:rPr>
      </w:pPr>
    </w:p>
    <w:p>
      <w:pPr>
        <w:spacing w:before="156" w:beforeLines="50" w:line="360" w:lineRule="auto"/>
        <w:jc w:val="left"/>
        <w:rPr>
          <w:rFonts w:ascii="仿宋" w:hAnsi="仿宋" w:eastAsia="仿宋"/>
          <w:sz w:val="24"/>
        </w:rPr>
      </w:pPr>
      <w:r>
        <w:rPr>
          <w:rFonts w:hint="eastAsia" w:ascii="仿宋" w:hAnsi="仿宋" w:eastAsia="仿宋"/>
          <w:sz w:val="24"/>
        </w:rPr>
        <w:t>备注：检测数据应达到以上洁净等级标准</w:t>
      </w:r>
    </w:p>
    <w:p>
      <w:pPr>
        <w:spacing w:line="360" w:lineRule="auto"/>
        <w:jc w:val="left"/>
        <w:rPr>
          <w:rFonts w:ascii="仿宋" w:hAnsi="仿宋" w:eastAsia="仿宋"/>
          <w:sz w:val="24"/>
        </w:rPr>
      </w:pPr>
      <w:r>
        <w:rPr>
          <w:rFonts w:hint="eastAsia" w:ascii="仿宋" w:hAnsi="仿宋" w:eastAsia="仿宋"/>
          <w:sz w:val="24"/>
        </w:rPr>
        <w:t>2、洁净度级别等于和高于100级洁净室用的高效过滤器，安装前应按《洁净室施工及验收规范》〔</w:t>
      </w:r>
      <w:r>
        <w:rPr>
          <w:rFonts w:ascii="仿宋" w:hAnsi="仿宋" w:eastAsia="仿宋"/>
          <w:sz w:val="24"/>
        </w:rPr>
        <w:t>GB 50591-2010</w:t>
      </w:r>
      <w:r>
        <w:rPr>
          <w:rFonts w:hint="eastAsia" w:ascii="仿宋" w:hAnsi="仿宋" w:eastAsia="仿宋"/>
          <w:sz w:val="24"/>
        </w:rPr>
        <w:t>〕的规定的方法检漏允许利用手术室正压渗漏其前室送风，须符合以下规定的要求，并提供检测数据。</w:t>
      </w:r>
    </w:p>
    <w:tbl>
      <w:tblPr>
        <w:tblStyle w:val="2"/>
        <w:tblW w:w="5000" w:type="pct"/>
        <w:jc w:val="center"/>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Layout w:type="autofit"/>
        <w:tblCellMar>
          <w:top w:w="0" w:type="dxa"/>
          <w:left w:w="108" w:type="dxa"/>
          <w:bottom w:w="0" w:type="dxa"/>
          <w:right w:w="108" w:type="dxa"/>
        </w:tblCellMar>
      </w:tblPr>
      <w:tblGrid>
        <w:gridCol w:w="2826"/>
        <w:gridCol w:w="2856"/>
        <w:gridCol w:w="2840"/>
      </w:tblGrid>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vAlign w:val="center"/>
          </w:tcPr>
          <w:p>
            <w:pPr>
              <w:jc w:val="center"/>
              <w:rPr>
                <w:rFonts w:ascii="仿宋" w:hAnsi="仿宋" w:eastAsia="仿宋" w:cs="宋体"/>
                <w:bCs/>
              </w:rPr>
            </w:pPr>
            <w:r>
              <w:rPr>
                <w:rFonts w:hint="eastAsia" w:ascii="仿宋" w:hAnsi="仿宋" w:eastAsia="仿宋" w:cs="宋体"/>
                <w:bCs/>
              </w:rPr>
              <w:t>等级</w:t>
            </w:r>
          </w:p>
        </w:tc>
        <w:tc>
          <w:tcPr>
            <w:tcW w:w="1675" w:type="pct"/>
            <w:vAlign w:val="center"/>
          </w:tcPr>
          <w:p>
            <w:pPr>
              <w:jc w:val="center"/>
              <w:rPr>
                <w:rFonts w:ascii="仿宋" w:hAnsi="仿宋" w:eastAsia="仿宋" w:cs="宋体"/>
                <w:bCs/>
              </w:rPr>
            </w:pPr>
            <w:r>
              <w:rPr>
                <w:rFonts w:hint="eastAsia" w:ascii="仿宋" w:hAnsi="仿宋" w:eastAsia="仿宋" w:cs="宋体"/>
                <w:bCs/>
              </w:rPr>
              <w:t>最小送风（换气次）</w:t>
            </w:r>
          </w:p>
        </w:tc>
        <w:tc>
          <w:tcPr>
            <w:tcW w:w="1666" w:type="pct"/>
            <w:vAlign w:val="center"/>
          </w:tcPr>
          <w:p>
            <w:pPr>
              <w:jc w:val="center"/>
              <w:rPr>
                <w:rFonts w:ascii="仿宋" w:hAnsi="仿宋" w:eastAsia="仿宋" w:cs="宋体"/>
                <w:bCs/>
              </w:rPr>
            </w:pPr>
            <w:r>
              <w:rPr>
                <w:rFonts w:hint="eastAsia" w:ascii="仿宋" w:hAnsi="仿宋" w:eastAsia="仿宋" w:cs="宋体"/>
                <w:bCs/>
              </w:rPr>
              <w:t>新风量</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vAlign w:val="center"/>
          </w:tcPr>
          <w:p>
            <w:pPr>
              <w:jc w:val="center"/>
              <w:rPr>
                <w:rFonts w:ascii="仿宋" w:hAnsi="仿宋" w:eastAsia="仿宋" w:cs="宋体"/>
                <w:bCs/>
              </w:rPr>
            </w:pPr>
            <w:r>
              <w:rPr>
                <w:rFonts w:hint="eastAsia" w:ascii="仿宋" w:hAnsi="仿宋" w:eastAsia="仿宋" w:cs="宋体"/>
                <w:bCs/>
              </w:rPr>
              <w:t>Ⅰ级</w:t>
            </w:r>
          </w:p>
        </w:tc>
        <w:tc>
          <w:tcPr>
            <w:tcW w:w="1675" w:type="pct"/>
            <w:vAlign w:val="center"/>
          </w:tcPr>
          <w:p>
            <w:pPr>
              <w:jc w:val="center"/>
              <w:rPr>
                <w:rFonts w:ascii="仿宋" w:hAnsi="仿宋" w:eastAsia="仿宋" w:cs="宋体"/>
                <w:bCs/>
              </w:rPr>
            </w:pPr>
            <w:r>
              <w:rPr>
                <w:rFonts w:hint="eastAsia" w:ascii="仿宋" w:hAnsi="仿宋" w:eastAsia="仿宋" w:cs="宋体"/>
                <w:bCs/>
              </w:rPr>
              <w:t>0.25m/s</w:t>
            </w:r>
            <w:r>
              <w:rPr>
                <w:rFonts w:hint="eastAsia" w:ascii="仿宋" w:hAnsi="仿宋" w:eastAsia="仿宋" w:cs="宋体"/>
                <w:bCs/>
              </w:rPr>
              <w:tab/>
            </w:r>
          </w:p>
        </w:tc>
        <w:tc>
          <w:tcPr>
            <w:tcW w:w="1666" w:type="pct"/>
            <w:vAlign w:val="center"/>
          </w:tcPr>
          <w:p>
            <w:pPr>
              <w:jc w:val="center"/>
              <w:rPr>
                <w:rFonts w:ascii="仿宋" w:hAnsi="仿宋" w:eastAsia="仿宋" w:cs="宋体"/>
                <w:bCs/>
              </w:rPr>
            </w:pPr>
            <w:r>
              <w:rPr>
                <w:rFonts w:hint="eastAsia" w:ascii="仿宋" w:hAnsi="仿宋" w:eastAsia="仿宋" w:cs="宋体"/>
                <w:bCs/>
              </w:rPr>
              <w:t>1000 m</w:t>
            </w:r>
            <w:r>
              <w:rPr>
                <w:rFonts w:hint="eastAsia" w:ascii="宋体" w:hAnsi="宋体" w:cs="宋体"/>
                <w:bCs/>
              </w:rPr>
              <w:t>³</w:t>
            </w:r>
            <w:r>
              <w:rPr>
                <w:rFonts w:hint="eastAsia" w:ascii="仿宋" w:hAnsi="仿宋" w:eastAsia="仿宋" w:cs="宋体"/>
                <w:bCs/>
              </w:rPr>
              <w:t>/h</w:t>
            </w: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vAlign w:val="center"/>
          </w:tcPr>
          <w:p>
            <w:pPr>
              <w:jc w:val="center"/>
              <w:rPr>
                <w:rFonts w:ascii="仿宋" w:hAnsi="仿宋" w:eastAsia="仿宋" w:cs="宋体"/>
                <w:bCs/>
              </w:rPr>
            </w:pPr>
            <w:r>
              <w:rPr>
                <w:rFonts w:hint="eastAsia" w:ascii="仿宋" w:hAnsi="仿宋" w:eastAsia="仿宋" w:cs="宋体"/>
                <w:bCs/>
              </w:rPr>
              <w:t>Ⅱ级</w:t>
            </w:r>
          </w:p>
        </w:tc>
        <w:tc>
          <w:tcPr>
            <w:tcW w:w="1675" w:type="pct"/>
            <w:vAlign w:val="center"/>
          </w:tcPr>
          <w:p>
            <w:pPr>
              <w:jc w:val="center"/>
              <w:rPr>
                <w:rFonts w:ascii="仿宋" w:hAnsi="仿宋" w:eastAsia="仿宋" w:cs="宋体"/>
                <w:bCs/>
              </w:rPr>
            </w:pPr>
            <w:r>
              <w:rPr>
                <w:rFonts w:hint="eastAsia" w:ascii="仿宋" w:hAnsi="仿宋" w:eastAsia="仿宋" w:cs="宋体"/>
                <w:bCs/>
              </w:rPr>
              <w:t>30 h-1</w:t>
            </w:r>
            <w:r>
              <w:rPr>
                <w:rFonts w:hint="eastAsia" w:ascii="仿宋" w:hAnsi="仿宋" w:eastAsia="仿宋" w:cs="宋体"/>
                <w:bCs/>
              </w:rPr>
              <w:tab/>
            </w:r>
            <w:r>
              <w:rPr>
                <w:rFonts w:hint="eastAsia" w:ascii="仿宋" w:hAnsi="仿宋" w:eastAsia="仿宋" w:cs="宋体"/>
                <w:bCs/>
              </w:rPr>
              <w:t>800 m</w:t>
            </w:r>
            <w:r>
              <w:rPr>
                <w:rFonts w:hint="eastAsia" w:ascii="宋体" w:hAnsi="宋体" w:cs="宋体"/>
                <w:bCs/>
              </w:rPr>
              <w:t>³</w:t>
            </w:r>
            <w:r>
              <w:rPr>
                <w:rFonts w:hint="eastAsia" w:ascii="仿宋" w:hAnsi="仿宋" w:eastAsia="仿宋" w:cs="宋体"/>
                <w:bCs/>
              </w:rPr>
              <w:t>/h</w:t>
            </w:r>
          </w:p>
        </w:tc>
        <w:tc>
          <w:tcPr>
            <w:tcW w:w="1666" w:type="pct"/>
            <w:vAlign w:val="center"/>
          </w:tcPr>
          <w:p>
            <w:pPr>
              <w:jc w:val="center"/>
              <w:rPr>
                <w:rFonts w:ascii="仿宋" w:hAnsi="仿宋" w:eastAsia="仿宋" w:cs="宋体"/>
                <w:bC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vAlign w:val="center"/>
          </w:tcPr>
          <w:p>
            <w:pPr>
              <w:jc w:val="center"/>
              <w:rPr>
                <w:rFonts w:ascii="仿宋" w:hAnsi="仿宋" w:eastAsia="仿宋" w:cs="宋体"/>
                <w:bCs/>
              </w:rPr>
            </w:pPr>
            <w:r>
              <w:rPr>
                <w:rFonts w:hint="eastAsia" w:ascii="仿宋" w:hAnsi="仿宋" w:eastAsia="仿宋" w:cs="宋体"/>
                <w:bCs/>
              </w:rPr>
              <w:t>Ⅲ级</w:t>
            </w:r>
          </w:p>
        </w:tc>
        <w:tc>
          <w:tcPr>
            <w:tcW w:w="1675" w:type="pct"/>
            <w:vAlign w:val="center"/>
          </w:tcPr>
          <w:p>
            <w:pPr>
              <w:jc w:val="center"/>
              <w:rPr>
                <w:rFonts w:ascii="仿宋" w:hAnsi="仿宋" w:eastAsia="仿宋" w:cs="宋体"/>
                <w:bCs/>
              </w:rPr>
            </w:pPr>
            <w:r>
              <w:rPr>
                <w:rFonts w:hint="eastAsia" w:ascii="仿宋" w:hAnsi="仿宋" w:eastAsia="仿宋" w:cs="宋体"/>
                <w:bCs/>
              </w:rPr>
              <w:t>18 h-1</w:t>
            </w:r>
            <w:r>
              <w:rPr>
                <w:rFonts w:hint="eastAsia" w:ascii="仿宋" w:hAnsi="仿宋" w:eastAsia="仿宋" w:cs="宋体"/>
                <w:bCs/>
              </w:rPr>
              <w:tab/>
            </w:r>
            <w:r>
              <w:rPr>
                <w:rFonts w:hint="eastAsia" w:ascii="仿宋" w:hAnsi="仿宋" w:eastAsia="仿宋" w:cs="宋体"/>
                <w:bCs/>
              </w:rPr>
              <w:t>800 m</w:t>
            </w:r>
            <w:r>
              <w:rPr>
                <w:rFonts w:hint="eastAsia" w:ascii="宋体" w:hAnsi="宋体" w:cs="宋体"/>
                <w:bCs/>
              </w:rPr>
              <w:t>³</w:t>
            </w:r>
            <w:r>
              <w:rPr>
                <w:rFonts w:hint="eastAsia" w:ascii="仿宋" w:hAnsi="仿宋" w:eastAsia="仿宋" w:cs="宋体"/>
                <w:bCs/>
              </w:rPr>
              <w:t>/h</w:t>
            </w:r>
          </w:p>
        </w:tc>
        <w:tc>
          <w:tcPr>
            <w:tcW w:w="1666" w:type="pct"/>
            <w:vAlign w:val="center"/>
          </w:tcPr>
          <w:p>
            <w:pPr>
              <w:jc w:val="center"/>
              <w:rPr>
                <w:rFonts w:ascii="仿宋" w:hAnsi="仿宋" w:eastAsia="仿宋" w:cs="宋体"/>
                <w:bCs/>
              </w:rPr>
            </w:pPr>
          </w:p>
        </w:tc>
      </w:tr>
      <w:tr>
        <w:tblPrEx>
          <w:tblBorders>
            <w:top w:val="single" w:color="auto" w:sz="8" w:space="0"/>
            <w:left w:val="single" w:color="auto" w:sz="8" w:space="0"/>
            <w:bottom w:val="single" w:color="auto" w:sz="8" w:space="0"/>
            <w:right w:val="single" w:color="auto"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658" w:type="pct"/>
            <w:vAlign w:val="center"/>
          </w:tcPr>
          <w:p>
            <w:pPr>
              <w:jc w:val="center"/>
              <w:rPr>
                <w:rFonts w:ascii="仿宋" w:hAnsi="仿宋" w:eastAsia="仿宋" w:cs="宋体"/>
                <w:bCs/>
              </w:rPr>
            </w:pPr>
            <w:r>
              <w:rPr>
                <w:rFonts w:hint="eastAsia" w:ascii="仿宋" w:hAnsi="仿宋" w:eastAsia="仿宋" w:cs="宋体"/>
                <w:bCs/>
              </w:rPr>
              <w:t>Ⅳ级</w:t>
            </w:r>
          </w:p>
        </w:tc>
        <w:tc>
          <w:tcPr>
            <w:tcW w:w="1675" w:type="pct"/>
            <w:vAlign w:val="center"/>
          </w:tcPr>
          <w:p>
            <w:pPr>
              <w:jc w:val="center"/>
              <w:rPr>
                <w:rFonts w:ascii="仿宋" w:hAnsi="仿宋" w:eastAsia="仿宋" w:cs="宋体"/>
                <w:bCs/>
              </w:rPr>
            </w:pPr>
            <w:r>
              <w:rPr>
                <w:rFonts w:hint="eastAsia" w:ascii="仿宋" w:hAnsi="仿宋" w:eastAsia="仿宋" w:cs="宋体"/>
                <w:bCs/>
              </w:rPr>
              <w:t>12 h-1600 m</w:t>
            </w:r>
            <w:r>
              <w:rPr>
                <w:rFonts w:hint="eastAsia" w:ascii="宋体" w:hAnsi="宋体" w:cs="宋体"/>
                <w:bCs/>
              </w:rPr>
              <w:t>³</w:t>
            </w:r>
            <w:r>
              <w:rPr>
                <w:rFonts w:hint="eastAsia" w:ascii="仿宋" w:hAnsi="仿宋" w:eastAsia="仿宋" w:cs="宋体"/>
                <w:bCs/>
              </w:rPr>
              <w:t>/h</w:t>
            </w:r>
          </w:p>
        </w:tc>
        <w:tc>
          <w:tcPr>
            <w:tcW w:w="1666" w:type="pct"/>
            <w:vAlign w:val="center"/>
          </w:tcPr>
          <w:p>
            <w:pPr>
              <w:jc w:val="center"/>
              <w:rPr>
                <w:rFonts w:ascii="仿宋" w:hAnsi="仿宋" w:eastAsia="仿宋" w:cs="宋体"/>
                <w:bCs/>
              </w:rPr>
            </w:pPr>
          </w:p>
        </w:tc>
      </w:tr>
    </w:tbl>
    <w:p>
      <w:pPr>
        <w:spacing w:line="360" w:lineRule="auto"/>
        <w:jc w:val="left"/>
        <w:rPr>
          <w:rFonts w:ascii="仿宋" w:hAnsi="仿宋" w:eastAsia="仿宋"/>
          <w:sz w:val="24"/>
        </w:rPr>
      </w:pPr>
      <w:r>
        <w:rPr>
          <w:rFonts w:hint="eastAsia" w:ascii="仿宋" w:hAnsi="仿宋" w:eastAsia="仿宋"/>
          <w:sz w:val="24"/>
        </w:rPr>
        <w:t>3、中国医院消毒卫生标准GB15928-1995</w:t>
      </w:r>
    </w:p>
    <w:tbl>
      <w:tblPr>
        <w:tblStyle w:val="2"/>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20"/>
        <w:gridCol w:w="4238"/>
        <w:gridCol w:w="1088"/>
        <w:gridCol w:w="1087"/>
        <w:gridCol w:w="108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vMerge w:val="restart"/>
            <w:noWrap/>
            <w:vAlign w:val="center"/>
          </w:tcPr>
          <w:p>
            <w:pPr>
              <w:widowControl/>
              <w:jc w:val="center"/>
              <w:rPr>
                <w:rFonts w:ascii="仿宋" w:hAnsi="仿宋" w:eastAsia="仿宋" w:cs="宋体"/>
                <w:bCs/>
                <w:kern w:val="0"/>
              </w:rPr>
            </w:pPr>
            <w:r>
              <w:rPr>
                <w:rFonts w:hint="eastAsia" w:ascii="仿宋" w:hAnsi="仿宋" w:eastAsia="仿宋" w:cs="宋体"/>
                <w:bCs/>
                <w:kern w:val="0"/>
              </w:rPr>
              <w:t>环境类别</w:t>
            </w:r>
          </w:p>
        </w:tc>
        <w:tc>
          <w:tcPr>
            <w:tcW w:w="2486" w:type="pct"/>
            <w:vMerge w:val="restart"/>
            <w:noWrap/>
            <w:vAlign w:val="center"/>
          </w:tcPr>
          <w:p>
            <w:pPr>
              <w:widowControl/>
              <w:jc w:val="center"/>
              <w:rPr>
                <w:rFonts w:ascii="仿宋" w:hAnsi="仿宋" w:eastAsia="仿宋" w:cs="宋体"/>
                <w:bCs/>
                <w:kern w:val="0"/>
              </w:rPr>
            </w:pPr>
            <w:r>
              <w:rPr>
                <w:rFonts w:hint="eastAsia" w:ascii="仿宋" w:hAnsi="仿宋" w:eastAsia="仿宋" w:cs="宋体"/>
                <w:bCs/>
                <w:kern w:val="0"/>
              </w:rPr>
              <w:t>场所范围</w:t>
            </w:r>
          </w:p>
        </w:tc>
        <w:tc>
          <w:tcPr>
            <w:tcW w:w="1915" w:type="pct"/>
            <w:gridSpan w:val="3"/>
            <w:noWrap/>
            <w:vAlign w:val="center"/>
          </w:tcPr>
          <w:p>
            <w:pPr>
              <w:widowControl/>
              <w:jc w:val="center"/>
              <w:rPr>
                <w:rFonts w:ascii="仿宋" w:hAnsi="仿宋" w:eastAsia="仿宋" w:cs="宋体"/>
                <w:bCs/>
                <w:kern w:val="0"/>
              </w:rPr>
            </w:pPr>
            <w:r>
              <w:rPr>
                <w:rFonts w:hint="eastAsia" w:ascii="仿宋" w:hAnsi="仿宋" w:eastAsia="仿宋" w:cs="宋体"/>
                <w:bCs/>
                <w:kern w:val="0"/>
              </w:rPr>
              <w:t>卫生标准（cfu/cm</w:t>
            </w:r>
            <w:r>
              <w:rPr>
                <w:rFonts w:hint="eastAsia" w:ascii="仿宋" w:hAnsi="仿宋" w:eastAsia="仿宋" w:cs="宋体"/>
                <w:bCs/>
                <w:kern w:val="0"/>
                <w:vertAlign w:val="superscript"/>
              </w:rPr>
              <w:t>2</w:t>
            </w:r>
            <w:r>
              <w:rPr>
                <w:rFonts w:hint="eastAsia" w:ascii="仿宋" w:hAnsi="仿宋" w:eastAsia="仿宋" w:cs="宋体"/>
                <w:bCs/>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vMerge w:val="continue"/>
            <w:vAlign w:val="center"/>
          </w:tcPr>
          <w:p>
            <w:pPr>
              <w:widowControl/>
              <w:jc w:val="left"/>
              <w:rPr>
                <w:rFonts w:ascii="仿宋" w:hAnsi="仿宋" w:eastAsia="仿宋" w:cs="宋体"/>
                <w:bCs/>
                <w:kern w:val="0"/>
              </w:rPr>
            </w:pPr>
          </w:p>
        </w:tc>
        <w:tc>
          <w:tcPr>
            <w:tcW w:w="2486" w:type="pct"/>
            <w:vMerge w:val="continue"/>
            <w:vAlign w:val="center"/>
          </w:tcPr>
          <w:p>
            <w:pPr>
              <w:widowControl/>
              <w:jc w:val="left"/>
              <w:rPr>
                <w:rFonts w:ascii="仿宋" w:hAnsi="仿宋" w:eastAsia="仿宋" w:cs="宋体"/>
                <w:bCs/>
                <w:kern w:val="0"/>
              </w:rPr>
            </w:pP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空气（m</w:t>
            </w:r>
            <w:r>
              <w:rPr>
                <w:rFonts w:hint="eastAsia" w:ascii="仿宋" w:hAnsi="仿宋" w:eastAsia="仿宋" w:cs="宋体"/>
                <w:bCs/>
                <w:kern w:val="0"/>
                <w:vertAlign w:val="superscript"/>
              </w:rPr>
              <w:t>3</w:t>
            </w:r>
            <w:r>
              <w:rPr>
                <w:rFonts w:hint="eastAsia" w:ascii="仿宋" w:hAnsi="仿宋" w:eastAsia="仿宋" w:cs="宋体"/>
                <w:bCs/>
                <w:kern w:val="0"/>
              </w:rPr>
              <w:t>）</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物体表面</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手上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noWrap/>
            <w:vAlign w:val="center"/>
          </w:tcPr>
          <w:p>
            <w:pPr>
              <w:widowControl/>
              <w:jc w:val="center"/>
              <w:rPr>
                <w:rFonts w:ascii="仿宋" w:hAnsi="仿宋" w:eastAsia="仿宋" w:cs="宋体"/>
                <w:bCs/>
                <w:kern w:val="0"/>
              </w:rPr>
            </w:pPr>
            <w:r>
              <w:rPr>
                <w:rFonts w:hint="eastAsia" w:ascii="仿宋" w:hAnsi="仿宋" w:eastAsia="仿宋" w:cs="宋体"/>
                <w:bCs/>
                <w:kern w:val="0"/>
              </w:rPr>
              <w:t>Ⅰ类</w:t>
            </w:r>
          </w:p>
        </w:tc>
        <w:tc>
          <w:tcPr>
            <w:tcW w:w="2486" w:type="pct"/>
            <w:noWrap/>
            <w:vAlign w:val="center"/>
          </w:tcPr>
          <w:p>
            <w:pPr>
              <w:widowControl/>
              <w:jc w:val="center"/>
              <w:rPr>
                <w:rFonts w:ascii="仿宋" w:hAnsi="仿宋" w:eastAsia="仿宋" w:cs="宋体"/>
                <w:bCs/>
                <w:kern w:val="0"/>
              </w:rPr>
            </w:pPr>
            <w:r>
              <w:rPr>
                <w:rFonts w:hint="eastAsia" w:ascii="仿宋" w:hAnsi="仿宋" w:eastAsia="仿宋" w:cs="宋体"/>
                <w:bCs/>
                <w:kern w:val="0"/>
              </w:rPr>
              <w:t>层流洁净手术室、层流洁净病房</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≤10</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≤5</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noWrap/>
            <w:vAlign w:val="center"/>
          </w:tcPr>
          <w:p>
            <w:pPr>
              <w:widowControl/>
              <w:jc w:val="center"/>
              <w:rPr>
                <w:rFonts w:ascii="仿宋" w:hAnsi="仿宋" w:eastAsia="仿宋" w:cs="宋体"/>
                <w:bCs/>
                <w:kern w:val="0"/>
              </w:rPr>
            </w:pPr>
            <w:r>
              <w:rPr>
                <w:rFonts w:hint="eastAsia" w:ascii="仿宋" w:hAnsi="仿宋" w:eastAsia="仿宋" w:cs="宋体"/>
                <w:bCs/>
                <w:kern w:val="0"/>
              </w:rPr>
              <w:t>Ⅱ类</w:t>
            </w:r>
          </w:p>
        </w:tc>
        <w:tc>
          <w:tcPr>
            <w:tcW w:w="2486" w:type="pct"/>
            <w:noWrap/>
            <w:vAlign w:val="center"/>
          </w:tcPr>
          <w:p>
            <w:pPr>
              <w:widowControl/>
              <w:jc w:val="center"/>
              <w:rPr>
                <w:rFonts w:ascii="仿宋" w:hAnsi="仿宋" w:eastAsia="仿宋" w:cs="宋体"/>
                <w:bCs/>
                <w:kern w:val="0"/>
              </w:rPr>
            </w:pPr>
            <w:r>
              <w:rPr>
                <w:rFonts w:hint="eastAsia" w:ascii="仿宋" w:hAnsi="仿宋" w:eastAsia="仿宋" w:cs="宋体"/>
                <w:bCs/>
                <w:kern w:val="0"/>
              </w:rPr>
              <w:t>普通手术室、产房、婴儿室、隔离室烧伤病房、ICU、供应室无菌区和早产儿室</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≤200</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≤5</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noWrap/>
            <w:vAlign w:val="center"/>
          </w:tcPr>
          <w:p>
            <w:pPr>
              <w:widowControl/>
              <w:jc w:val="center"/>
              <w:rPr>
                <w:rFonts w:ascii="仿宋" w:hAnsi="仿宋" w:eastAsia="仿宋" w:cs="宋体"/>
                <w:bCs/>
                <w:kern w:val="0"/>
              </w:rPr>
            </w:pPr>
            <w:r>
              <w:rPr>
                <w:rFonts w:hint="eastAsia" w:ascii="仿宋" w:hAnsi="仿宋" w:eastAsia="仿宋" w:cs="宋体"/>
                <w:bCs/>
                <w:kern w:val="0"/>
              </w:rPr>
              <w:t>Ⅲ类</w:t>
            </w:r>
          </w:p>
        </w:tc>
        <w:tc>
          <w:tcPr>
            <w:tcW w:w="2486" w:type="pct"/>
            <w:noWrap/>
            <w:vAlign w:val="center"/>
          </w:tcPr>
          <w:p>
            <w:pPr>
              <w:widowControl/>
              <w:jc w:val="center"/>
              <w:rPr>
                <w:rFonts w:ascii="仿宋" w:hAnsi="仿宋" w:eastAsia="仿宋" w:cs="宋体"/>
                <w:bCs/>
                <w:kern w:val="0"/>
              </w:rPr>
            </w:pPr>
            <w:r>
              <w:rPr>
                <w:rFonts w:hint="eastAsia" w:ascii="仿宋" w:hAnsi="仿宋" w:eastAsia="仿宋" w:cs="宋体"/>
                <w:bCs/>
                <w:kern w:val="0"/>
              </w:rPr>
              <w:t>儿科病房、妇产科检查室、注射室、治疗室、急诊室、化验室、普通病房、供应室清洁区</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≤500</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≤10</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598" w:type="pct"/>
            <w:noWrap/>
            <w:vAlign w:val="center"/>
          </w:tcPr>
          <w:p>
            <w:pPr>
              <w:widowControl/>
              <w:jc w:val="center"/>
              <w:rPr>
                <w:rFonts w:ascii="仿宋" w:hAnsi="仿宋" w:eastAsia="仿宋" w:cs="宋体"/>
                <w:bCs/>
                <w:kern w:val="0"/>
              </w:rPr>
            </w:pPr>
            <w:r>
              <w:rPr>
                <w:rFonts w:hint="eastAsia" w:ascii="仿宋" w:hAnsi="仿宋" w:eastAsia="仿宋" w:cs="宋体"/>
                <w:bCs/>
                <w:kern w:val="0"/>
              </w:rPr>
              <w:t>Ⅳ类</w:t>
            </w:r>
          </w:p>
        </w:tc>
        <w:tc>
          <w:tcPr>
            <w:tcW w:w="2486" w:type="pct"/>
            <w:noWrap/>
            <w:vAlign w:val="center"/>
          </w:tcPr>
          <w:p>
            <w:pPr>
              <w:widowControl/>
              <w:jc w:val="center"/>
              <w:rPr>
                <w:rFonts w:ascii="仿宋" w:hAnsi="仿宋" w:eastAsia="仿宋" w:cs="宋体"/>
                <w:bCs/>
                <w:kern w:val="0"/>
              </w:rPr>
            </w:pPr>
            <w:r>
              <w:rPr>
                <w:rFonts w:hint="eastAsia" w:ascii="仿宋" w:hAnsi="仿宋" w:eastAsia="仿宋" w:cs="宋体"/>
                <w:bCs/>
                <w:kern w:val="0"/>
              </w:rPr>
              <w:t>传染病科和传染病房</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≤15</w:t>
            </w:r>
          </w:p>
        </w:tc>
        <w:tc>
          <w:tcPr>
            <w:tcW w:w="638" w:type="pct"/>
            <w:noWrap/>
            <w:vAlign w:val="center"/>
          </w:tcPr>
          <w:p>
            <w:pPr>
              <w:widowControl/>
              <w:jc w:val="center"/>
              <w:rPr>
                <w:rFonts w:ascii="仿宋" w:hAnsi="仿宋" w:eastAsia="仿宋" w:cs="宋体"/>
                <w:bCs/>
                <w:kern w:val="0"/>
              </w:rPr>
            </w:pPr>
            <w:r>
              <w:rPr>
                <w:rFonts w:hint="eastAsia" w:ascii="仿宋" w:hAnsi="仿宋" w:eastAsia="仿宋" w:cs="宋体"/>
                <w:bCs/>
                <w:kern w:val="0"/>
              </w:rPr>
              <w:t>≤15</w:t>
            </w:r>
          </w:p>
        </w:tc>
      </w:tr>
    </w:tbl>
    <w:p>
      <w:pPr>
        <w:spacing w:line="360" w:lineRule="auto"/>
        <w:jc w:val="left"/>
        <w:rPr>
          <w:rFonts w:ascii="仿宋" w:hAnsi="仿宋" w:eastAsia="仿宋"/>
          <w:sz w:val="24"/>
        </w:rPr>
      </w:pPr>
      <w:r>
        <w:rPr>
          <w:rFonts w:hint="eastAsia" w:ascii="仿宋" w:hAnsi="仿宋" w:eastAsia="仿宋"/>
          <w:sz w:val="24"/>
        </w:rPr>
        <w:t>4、除每次安装结束必须检测外，须定期检测的各院区科室：</w:t>
      </w:r>
    </w:p>
    <w:p>
      <w:pPr>
        <w:spacing w:line="360" w:lineRule="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广州妇女儿童医疗中心增城</w:t>
      </w:r>
      <w:r>
        <w:rPr>
          <w:rFonts w:hint="eastAsia" w:ascii="仿宋" w:hAnsi="仿宋" w:eastAsia="仿宋"/>
          <w:sz w:val="24"/>
        </w:rPr>
        <w:t>院区：手术室、移植仓、脐血库、PICU、CICU心脏重症监护，以上区域每季度例行一次检测，提供检测报告（数据包含尘埃粒子数、换气次数、风速、压差）；配液中心、中心供应室、中心手术室生活区及其它功能区、中心手术室腔镜中心、新生儿科重症监护室，以上区域每半年例行一次检测，提供检测报告（数据包含尘埃粒子数、换气次数、风速、压差)；以上检测报告资料乙方完成后，需加盖公章交甲方相关部门存档。</w:t>
      </w:r>
    </w:p>
    <w:p>
      <w:pPr>
        <w:spacing w:line="360" w:lineRule="auto"/>
        <w:rPr>
          <w:rFonts w:ascii="仿宋" w:hAnsi="仿宋" w:eastAsia="仿宋" w:cs="宋体"/>
          <w:bCs/>
          <w:sz w:val="24"/>
        </w:rPr>
      </w:pPr>
    </w:p>
    <w:p>
      <w:pPr>
        <w:spacing w:line="360" w:lineRule="auto"/>
        <w:ind w:left="480" w:hanging="480" w:hangingChars="200"/>
        <w:jc w:val="left"/>
        <w:rPr>
          <w:rFonts w:ascii="仿宋" w:hAnsi="仿宋" w:eastAsia="仿宋" w:cs="宋体"/>
          <w:bCs/>
          <w:sz w:val="24"/>
        </w:rPr>
      </w:pPr>
      <w:r>
        <w:rPr>
          <w:rFonts w:hint="eastAsia" w:ascii="仿宋" w:hAnsi="仿宋" w:eastAsia="仿宋" w:cs="宋体"/>
          <w:bCs/>
          <w:sz w:val="24"/>
        </w:rPr>
        <w:t>（</w:t>
      </w:r>
      <w:r>
        <w:rPr>
          <w:rFonts w:hint="eastAsia" w:ascii="仿宋" w:hAnsi="仿宋" w:eastAsia="仿宋" w:cs="宋体"/>
          <w:bCs/>
          <w:sz w:val="24"/>
          <w:lang w:val="en-US" w:eastAsia="zh-CN"/>
        </w:rPr>
        <w:t>2</w:t>
      </w:r>
      <w:r>
        <w:rPr>
          <w:rFonts w:hint="eastAsia" w:ascii="仿宋" w:hAnsi="仿宋" w:eastAsia="仿宋" w:cs="宋体"/>
          <w:bCs/>
          <w:sz w:val="24"/>
        </w:rPr>
        <w:t>） 检测数据满足：</w:t>
      </w:r>
    </w:p>
    <w:p>
      <w:pPr>
        <w:spacing w:line="360" w:lineRule="auto"/>
        <w:ind w:left="480" w:hanging="480" w:hangingChars="200"/>
        <w:jc w:val="left"/>
        <w:rPr>
          <w:rFonts w:ascii="仿宋" w:hAnsi="仿宋" w:eastAsia="仿宋" w:cs="宋体"/>
          <w:bCs/>
          <w:sz w:val="24"/>
        </w:rPr>
      </w:pPr>
      <w:r>
        <w:rPr>
          <w:rFonts w:hint="eastAsia" w:ascii="仿宋" w:hAnsi="仿宋" w:eastAsia="仿宋" w:cs="宋体"/>
          <w:bCs/>
          <w:sz w:val="24"/>
        </w:rPr>
        <w:t>标准：洁净室及洁净区空气中悬浮粒子洁净度等级(ISO146441)：</w:t>
      </w:r>
    </w:p>
    <w:tbl>
      <w:tblPr>
        <w:tblStyle w:val="2"/>
        <w:tblW w:w="488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59"/>
        <w:gridCol w:w="1176"/>
        <w:gridCol w:w="1176"/>
        <w:gridCol w:w="1176"/>
        <w:gridCol w:w="1176"/>
        <w:gridCol w:w="1176"/>
        <w:gridCol w:w="11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vMerge w:val="restart"/>
            <w:noWrap/>
            <w:vAlign w:val="center"/>
          </w:tcPr>
          <w:p>
            <w:pPr>
              <w:jc w:val="center"/>
              <w:rPr>
                <w:rFonts w:ascii="仿宋" w:hAnsi="仿宋" w:eastAsia="仿宋" w:cs="宋体"/>
                <w:b/>
                <w:bCs/>
              </w:rPr>
            </w:pPr>
            <w:r>
              <w:rPr>
                <w:rFonts w:hint="eastAsia" w:ascii="仿宋" w:hAnsi="仿宋" w:eastAsia="仿宋" w:cs="宋体"/>
                <w:b/>
              </w:rPr>
              <w:t>空气洁净等级</w:t>
            </w:r>
          </w:p>
        </w:tc>
        <w:tc>
          <w:tcPr>
            <w:tcW w:w="4243" w:type="pct"/>
            <w:gridSpan w:val="6"/>
            <w:noWrap/>
            <w:vAlign w:val="center"/>
          </w:tcPr>
          <w:p>
            <w:pPr>
              <w:jc w:val="center"/>
              <w:rPr>
                <w:rFonts w:ascii="仿宋" w:hAnsi="仿宋" w:eastAsia="仿宋" w:cs="宋体"/>
                <w:b/>
                <w:bCs/>
              </w:rPr>
            </w:pPr>
            <w:r>
              <w:rPr>
                <w:rFonts w:hint="eastAsia" w:ascii="仿宋" w:hAnsi="仿宋" w:eastAsia="仿宋" w:cs="宋体"/>
                <w:b/>
                <w:bCs/>
              </w:rPr>
              <w:t>大于或等于表中粒径的最大浓度限值（PC/</w:t>
            </w:r>
            <w:r>
              <w:rPr>
                <w:rFonts w:hint="eastAsia" w:ascii="仿宋" w:hAnsi="仿宋" w:eastAsia="仿宋" w:cs="宋体"/>
                <w:b/>
                <w:bCs/>
                <w:shd w:val="clear" w:color="auto" w:fill="FFFFFF"/>
              </w:rPr>
              <w:t>m</w:t>
            </w:r>
            <w:r>
              <w:rPr>
                <w:rFonts w:hint="eastAsia" w:ascii="宋体" w:hAnsi="宋体" w:cs="宋体"/>
                <w:b/>
                <w:bCs/>
                <w:shd w:val="clear" w:color="auto" w:fill="FFFFFF"/>
              </w:rPr>
              <w:t>³</w:t>
            </w:r>
            <w:r>
              <w:rPr>
                <w:rFonts w:hint="eastAsia" w:ascii="仿宋" w:hAnsi="仿宋" w:eastAsia="仿宋" w:cs="宋体"/>
                <w:b/>
                <w:bCs/>
                <w:shd w:val="clear" w:color="auto" w:fill="FFFFFF"/>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vMerge w:val="continue"/>
            <w:vAlign w:val="center"/>
          </w:tcPr>
          <w:p>
            <w:pPr>
              <w:widowControl/>
              <w:jc w:val="left"/>
              <w:rPr>
                <w:rFonts w:ascii="仿宋" w:hAnsi="仿宋" w:eastAsia="仿宋" w:cs="宋体"/>
                <w:b/>
                <w:bCs/>
              </w:rPr>
            </w:pPr>
          </w:p>
        </w:tc>
        <w:tc>
          <w:tcPr>
            <w:tcW w:w="706" w:type="pct"/>
            <w:noWrap/>
            <w:vAlign w:val="center"/>
          </w:tcPr>
          <w:p>
            <w:pPr>
              <w:jc w:val="center"/>
              <w:rPr>
                <w:rFonts w:ascii="仿宋" w:hAnsi="仿宋" w:eastAsia="仿宋" w:cs="宋体"/>
                <w:b/>
                <w:bCs/>
              </w:rPr>
            </w:pPr>
            <w:r>
              <w:rPr>
                <w:rFonts w:hint="eastAsia" w:ascii="仿宋" w:hAnsi="仿宋" w:eastAsia="仿宋" w:cs="宋体"/>
                <w:b/>
                <w:bCs/>
              </w:rPr>
              <w:t>0.1UM</w:t>
            </w:r>
          </w:p>
        </w:tc>
        <w:tc>
          <w:tcPr>
            <w:tcW w:w="706" w:type="pct"/>
            <w:noWrap/>
            <w:vAlign w:val="center"/>
          </w:tcPr>
          <w:p>
            <w:pPr>
              <w:jc w:val="center"/>
              <w:rPr>
                <w:rFonts w:ascii="仿宋" w:hAnsi="仿宋" w:eastAsia="仿宋" w:cs="宋体"/>
                <w:b/>
                <w:bCs/>
              </w:rPr>
            </w:pPr>
            <w:r>
              <w:rPr>
                <w:rFonts w:hint="eastAsia" w:ascii="仿宋" w:hAnsi="仿宋" w:eastAsia="仿宋" w:cs="宋体"/>
                <w:b/>
                <w:bCs/>
              </w:rPr>
              <w:t>0.2UM</w:t>
            </w:r>
          </w:p>
        </w:tc>
        <w:tc>
          <w:tcPr>
            <w:tcW w:w="706" w:type="pct"/>
            <w:noWrap/>
            <w:vAlign w:val="center"/>
          </w:tcPr>
          <w:p>
            <w:pPr>
              <w:jc w:val="center"/>
              <w:rPr>
                <w:rFonts w:ascii="仿宋" w:hAnsi="仿宋" w:eastAsia="仿宋" w:cs="宋体"/>
                <w:b/>
                <w:bCs/>
              </w:rPr>
            </w:pPr>
            <w:r>
              <w:rPr>
                <w:rFonts w:hint="eastAsia" w:ascii="仿宋" w:hAnsi="仿宋" w:eastAsia="仿宋" w:cs="宋体"/>
                <w:b/>
                <w:bCs/>
              </w:rPr>
              <w:t>0.3UM</w:t>
            </w:r>
          </w:p>
        </w:tc>
        <w:tc>
          <w:tcPr>
            <w:tcW w:w="706" w:type="pct"/>
            <w:noWrap/>
            <w:vAlign w:val="center"/>
          </w:tcPr>
          <w:p>
            <w:pPr>
              <w:jc w:val="center"/>
              <w:rPr>
                <w:rFonts w:ascii="仿宋" w:hAnsi="仿宋" w:eastAsia="仿宋" w:cs="宋体"/>
                <w:b/>
                <w:bCs/>
              </w:rPr>
            </w:pPr>
            <w:r>
              <w:rPr>
                <w:rFonts w:hint="eastAsia" w:ascii="仿宋" w:hAnsi="仿宋" w:eastAsia="仿宋" w:cs="宋体"/>
                <w:b/>
                <w:bCs/>
              </w:rPr>
              <w:t>0.5UM</w:t>
            </w:r>
          </w:p>
        </w:tc>
        <w:tc>
          <w:tcPr>
            <w:tcW w:w="706" w:type="pct"/>
            <w:noWrap/>
            <w:vAlign w:val="center"/>
          </w:tcPr>
          <w:p>
            <w:pPr>
              <w:jc w:val="center"/>
              <w:rPr>
                <w:rFonts w:ascii="仿宋" w:hAnsi="仿宋" w:eastAsia="仿宋" w:cs="宋体"/>
                <w:b/>
                <w:bCs/>
              </w:rPr>
            </w:pPr>
            <w:r>
              <w:rPr>
                <w:rFonts w:hint="eastAsia" w:ascii="仿宋" w:hAnsi="仿宋" w:eastAsia="仿宋" w:cs="宋体"/>
                <w:b/>
                <w:bCs/>
              </w:rPr>
              <w:t>1UM</w:t>
            </w:r>
          </w:p>
        </w:tc>
        <w:tc>
          <w:tcPr>
            <w:tcW w:w="709" w:type="pct"/>
            <w:noWrap/>
            <w:vAlign w:val="center"/>
          </w:tcPr>
          <w:p>
            <w:pPr>
              <w:jc w:val="center"/>
              <w:rPr>
                <w:rFonts w:ascii="仿宋" w:hAnsi="仿宋" w:eastAsia="仿宋" w:cs="宋体"/>
                <w:b/>
                <w:bCs/>
              </w:rPr>
            </w:pPr>
            <w:r>
              <w:rPr>
                <w:rFonts w:hint="eastAsia" w:ascii="仿宋" w:hAnsi="仿宋" w:eastAsia="仿宋" w:cs="宋体"/>
                <w:b/>
                <w:bCs/>
              </w:rPr>
              <w:t>3UM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noWrap/>
            <w:vAlign w:val="center"/>
          </w:tcPr>
          <w:p>
            <w:pPr>
              <w:jc w:val="center"/>
              <w:rPr>
                <w:rFonts w:ascii="仿宋" w:hAnsi="仿宋" w:eastAsia="仿宋" w:cs="宋体"/>
                <w:bCs/>
              </w:rPr>
            </w:pPr>
            <w:r>
              <w:rPr>
                <w:rFonts w:hint="eastAsia" w:ascii="仿宋" w:hAnsi="仿宋" w:eastAsia="仿宋" w:cs="宋体"/>
                <w:bCs/>
              </w:rPr>
              <w:t>1</w:t>
            </w:r>
          </w:p>
        </w:tc>
        <w:tc>
          <w:tcPr>
            <w:tcW w:w="706" w:type="pct"/>
            <w:noWrap/>
            <w:vAlign w:val="center"/>
          </w:tcPr>
          <w:p>
            <w:pPr>
              <w:jc w:val="center"/>
              <w:rPr>
                <w:rFonts w:ascii="仿宋" w:hAnsi="仿宋" w:eastAsia="仿宋" w:cs="宋体"/>
                <w:bCs/>
              </w:rPr>
            </w:pPr>
            <w:r>
              <w:rPr>
                <w:rFonts w:hint="eastAsia" w:ascii="仿宋" w:hAnsi="仿宋" w:eastAsia="仿宋" w:cs="宋体"/>
                <w:bCs/>
              </w:rPr>
              <w:t>10</w:t>
            </w:r>
          </w:p>
        </w:tc>
        <w:tc>
          <w:tcPr>
            <w:tcW w:w="706" w:type="pct"/>
            <w:noWrap/>
            <w:vAlign w:val="center"/>
          </w:tcPr>
          <w:p>
            <w:pPr>
              <w:jc w:val="center"/>
              <w:rPr>
                <w:rFonts w:ascii="仿宋" w:hAnsi="仿宋" w:eastAsia="仿宋" w:cs="宋体"/>
                <w:bCs/>
              </w:rPr>
            </w:pPr>
            <w:r>
              <w:rPr>
                <w:rFonts w:hint="eastAsia" w:ascii="仿宋" w:hAnsi="仿宋" w:eastAsia="仿宋" w:cs="宋体"/>
                <w:bCs/>
              </w:rPr>
              <w:t>2</w:t>
            </w: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p>
        </w:tc>
        <w:tc>
          <w:tcPr>
            <w:tcW w:w="709" w:type="pct"/>
            <w:noWrap/>
            <w:vAlign w:val="center"/>
          </w:tcPr>
          <w:p>
            <w:pPr>
              <w:jc w:val="center"/>
              <w:rPr>
                <w:rFonts w:ascii="仿宋" w:hAnsi="仿宋" w:eastAsia="仿宋" w:cs="宋体"/>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noWrap/>
            <w:vAlign w:val="center"/>
          </w:tcPr>
          <w:p>
            <w:pPr>
              <w:jc w:val="center"/>
              <w:rPr>
                <w:rFonts w:ascii="仿宋" w:hAnsi="仿宋" w:eastAsia="仿宋" w:cs="宋体"/>
                <w:bCs/>
              </w:rPr>
            </w:pPr>
            <w:r>
              <w:rPr>
                <w:rFonts w:hint="eastAsia" w:ascii="仿宋" w:hAnsi="仿宋" w:eastAsia="仿宋" w:cs="宋体"/>
                <w:bCs/>
              </w:rPr>
              <w:t>2</w:t>
            </w:r>
          </w:p>
        </w:tc>
        <w:tc>
          <w:tcPr>
            <w:tcW w:w="706" w:type="pct"/>
            <w:noWrap/>
            <w:vAlign w:val="center"/>
          </w:tcPr>
          <w:p>
            <w:pPr>
              <w:jc w:val="center"/>
              <w:rPr>
                <w:rFonts w:ascii="仿宋" w:hAnsi="仿宋" w:eastAsia="仿宋" w:cs="宋体"/>
                <w:bCs/>
              </w:rPr>
            </w:pPr>
            <w:r>
              <w:rPr>
                <w:rFonts w:hint="eastAsia" w:ascii="仿宋" w:hAnsi="仿宋" w:eastAsia="仿宋" w:cs="宋体"/>
                <w:bCs/>
              </w:rPr>
              <w:t>100</w:t>
            </w:r>
          </w:p>
        </w:tc>
        <w:tc>
          <w:tcPr>
            <w:tcW w:w="706" w:type="pct"/>
            <w:noWrap/>
            <w:vAlign w:val="center"/>
          </w:tcPr>
          <w:p>
            <w:pPr>
              <w:jc w:val="center"/>
              <w:rPr>
                <w:rFonts w:ascii="仿宋" w:hAnsi="仿宋" w:eastAsia="仿宋" w:cs="宋体"/>
                <w:bCs/>
              </w:rPr>
            </w:pPr>
            <w:r>
              <w:rPr>
                <w:rFonts w:hint="eastAsia" w:ascii="仿宋" w:hAnsi="仿宋" w:eastAsia="仿宋" w:cs="宋体"/>
                <w:bCs/>
              </w:rPr>
              <w:t>24</w:t>
            </w:r>
          </w:p>
        </w:tc>
        <w:tc>
          <w:tcPr>
            <w:tcW w:w="706" w:type="pct"/>
            <w:noWrap/>
            <w:vAlign w:val="center"/>
          </w:tcPr>
          <w:p>
            <w:pPr>
              <w:jc w:val="center"/>
              <w:rPr>
                <w:rFonts w:ascii="仿宋" w:hAnsi="仿宋" w:eastAsia="仿宋" w:cs="宋体"/>
                <w:bCs/>
              </w:rPr>
            </w:pPr>
            <w:r>
              <w:rPr>
                <w:rFonts w:hint="eastAsia" w:ascii="仿宋" w:hAnsi="仿宋" w:eastAsia="仿宋" w:cs="宋体"/>
                <w:bCs/>
              </w:rPr>
              <w:t>10</w:t>
            </w:r>
          </w:p>
        </w:tc>
        <w:tc>
          <w:tcPr>
            <w:tcW w:w="706" w:type="pct"/>
            <w:noWrap/>
            <w:vAlign w:val="center"/>
          </w:tcPr>
          <w:p>
            <w:pPr>
              <w:jc w:val="center"/>
              <w:rPr>
                <w:rFonts w:ascii="仿宋" w:hAnsi="仿宋" w:eastAsia="仿宋" w:cs="宋体"/>
                <w:bCs/>
              </w:rPr>
            </w:pPr>
            <w:r>
              <w:rPr>
                <w:rFonts w:hint="eastAsia" w:ascii="仿宋" w:hAnsi="仿宋" w:eastAsia="仿宋" w:cs="宋体"/>
                <w:bCs/>
              </w:rPr>
              <w:t>4</w:t>
            </w:r>
          </w:p>
        </w:tc>
        <w:tc>
          <w:tcPr>
            <w:tcW w:w="706" w:type="pct"/>
            <w:noWrap/>
            <w:vAlign w:val="center"/>
          </w:tcPr>
          <w:p>
            <w:pPr>
              <w:jc w:val="center"/>
              <w:rPr>
                <w:rFonts w:ascii="仿宋" w:hAnsi="仿宋" w:eastAsia="仿宋" w:cs="宋体"/>
                <w:bCs/>
              </w:rPr>
            </w:pPr>
          </w:p>
        </w:tc>
        <w:tc>
          <w:tcPr>
            <w:tcW w:w="709" w:type="pct"/>
            <w:noWrap/>
            <w:vAlign w:val="center"/>
          </w:tcPr>
          <w:p>
            <w:pPr>
              <w:jc w:val="center"/>
              <w:rPr>
                <w:rFonts w:ascii="仿宋" w:hAnsi="仿宋" w:eastAsia="仿宋" w:cs="宋体"/>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noWrap/>
            <w:vAlign w:val="center"/>
          </w:tcPr>
          <w:p>
            <w:pPr>
              <w:jc w:val="center"/>
              <w:rPr>
                <w:rFonts w:ascii="仿宋" w:hAnsi="仿宋" w:eastAsia="仿宋" w:cs="宋体"/>
                <w:bCs/>
              </w:rPr>
            </w:pPr>
            <w:r>
              <w:rPr>
                <w:rFonts w:hint="eastAsia" w:ascii="仿宋" w:hAnsi="仿宋" w:eastAsia="仿宋" w:cs="宋体"/>
                <w:bCs/>
              </w:rPr>
              <w:t>3</w:t>
            </w:r>
          </w:p>
        </w:tc>
        <w:tc>
          <w:tcPr>
            <w:tcW w:w="706" w:type="pct"/>
            <w:noWrap/>
            <w:vAlign w:val="center"/>
          </w:tcPr>
          <w:p>
            <w:pPr>
              <w:jc w:val="center"/>
              <w:rPr>
                <w:rFonts w:ascii="仿宋" w:hAnsi="仿宋" w:eastAsia="仿宋" w:cs="宋体"/>
                <w:bCs/>
              </w:rPr>
            </w:pPr>
            <w:r>
              <w:rPr>
                <w:rFonts w:hint="eastAsia" w:ascii="仿宋" w:hAnsi="仿宋" w:eastAsia="仿宋" w:cs="宋体"/>
                <w:bCs/>
              </w:rPr>
              <w:t>1OOO</w:t>
            </w:r>
          </w:p>
        </w:tc>
        <w:tc>
          <w:tcPr>
            <w:tcW w:w="706" w:type="pct"/>
            <w:noWrap/>
            <w:vAlign w:val="center"/>
          </w:tcPr>
          <w:p>
            <w:pPr>
              <w:jc w:val="center"/>
              <w:rPr>
                <w:rFonts w:ascii="仿宋" w:hAnsi="仿宋" w:eastAsia="仿宋" w:cs="宋体"/>
                <w:bCs/>
              </w:rPr>
            </w:pPr>
            <w:r>
              <w:rPr>
                <w:rFonts w:hint="eastAsia" w:ascii="仿宋" w:hAnsi="仿宋" w:eastAsia="仿宋" w:cs="宋体"/>
                <w:bCs/>
              </w:rPr>
              <w:t>237</w:t>
            </w:r>
          </w:p>
        </w:tc>
        <w:tc>
          <w:tcPr>
            <w:tcW w:w="706" w:type="pct"/>
            <w:noWrap/>
            <w:vAlign w:val="center"/>
          </w:tcPr>
          <w:p>
            <w:pPr>
              <w:jc w:val="center"/>
              <w:rPr>
                <w:rFonts w:ascii="仿宋" w:hAnsi="仿宋" w:eastAsia="仿宋" w:cs="宋体"/>
                <w:bCs/>
              </w:rPr>
            </w:pPr>
            <w:r>
              <w:rPr>
                <w:rFonts w:hint="eastAsia" w:ascii="仿宋" w:hAnsi="仿宋" w:eastAsia="仿宋" w:cs="宋体"/>
                <w:bCs/>
              </w:rPr>
              <w:t>102</w:t>
            </w:r>
          </w:p>
        </w:tc>
        <w:tc>
          <w:tcPr>
            <w:tcW w:w="706" w:type="pct"/>
            <w:noWrap/>
            <w:vAlign w:val="center"/>
          </w:tcPr>
          <w:p>
            <w:pPr>
              <w:jc w:val="center"/>
              <w:rPr>
                <w:rFonts w:ascii="仿宋" w:hAnsi="仿宋" w:eastAsia="仿宋" w:cs="宋体"/>
                <w:bCs/>
              </w:rPr>
            </w:pPr>
            <w:r>
              <w:rPr>
                <w:rFonts w:hint="eastAsia" w:ascii="仿宋" w:hAnsi="仿宋" w:eastAsia="仿宋" w:cs="宋体"/>
                <w:bCs/>
              </w:rPr>
              <w:t>35</w:t>
            </w:r>
          </w:p>
        </w:tc>
        <w:tc>
          <w:tcPr>
            <w:tcW w:w="706" w:type="pct"/>
            <w:noWrap/>
            <w:vAlign w:val="center"/>
          </w:tcPr>
          <w:p>
            <w:pPr>
              <w:jc w:val="center"/>
              <w:rPr>
                <w:rFonts w:ascii="仿宋" w:hAnsi="仿宋" w:eastAsia="仿宋" w:cs="宋体"/>
                <w:bCs/>
              </w:rPr>
            </w:pPr>
            <w:r>
              <w:rPr>
                <w:rFonts w:hint="eastAsia" w:ascii="仿宋" w:hAnsi="仿宋" w:eastAsia="仿宋" w:cs="宋体"/>
                <w:bCs/>
              </w:rPr>
              <w:t>8</w:t>
            </w:r>
          </w:p>
        </w:tc>
        <w:tc>
          <w:tcPr>
            <w:tcW w:w="709" w:type="pct"/>
            <w:noWrap/>
            <w:vAlign w:val="center"/>
          </w:tcPr>
          <w:p>
            <w:pPr>
              <w:jc w:val="center"/>
              <w:rPr>
                <w:rFonts w:ascii="仿宋" w:hAnsi="仿宋" w:eastAsia="仿宋" w:cs="宋体"/>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noWrap/>
            <w:vAlign w:val="center"/>
          </w:tcPr>
          <w:p>
            <w:pPr>
              <w:jc w:val="center"/>
              <w:rPr>
                <w:rFonts w:ascii="仿宋" w:hAnsi="仿宋" w:eastAsia="仿宋" w:cs="宋体"/>
                <w:bCs/>
              </w:rPr>
            </w:pPr>
            <w:r>
              <w:rPr>
                <w:rFonts w:hint="eastAsia" w:ascii="仿宋" w:hAnsi="仿宋" w:eastAsia="仿宋" w:cs="宋体"/>
                <w:bCs/>
              </w:rPr>
              <w:t>4</w:t>
            </w:r>
          </w:p>
        </w:tc>
        <w:tc>
          <w:tcPr>
            <w:tcW w:w="706" w:type="pct"/>
            <w:noWrap/>
            <w:vAlign w:val="center"/>
          </w:tcPr>
          <w:p>
            <w:pPr>
              <w:jc w:val="center"/>
              <w:rPr>
                <w:rFonts w:ascii="仿宋" w:hAnsi="仿宋" w:eastAsia="仿宋" w:cs="宋体"/>
                <w:bCs/>
              </w:rPr>
            </w:pPr>
            <w:r>
              <w:rPr>
                <w:rFonts w:hint="eastAsia" w:ascii="仿宋" w:hAnsi="仿宋" w:eastAsia="仿宋" w:cs="宋体"/>
                <w:bCs/>
              </w:rPr>
              <w:t>1OOOO</w:t>
            </w:r>
          </w:p>
        </w:tc>
        <w:tc>
          <w:tcPr>
            <w:tcW w:w="706" w:type="pct"/>
            <w:noWrap/>
            <w:vAlign w:val="center"/>
          </w:tcPr>
          <w:p>
            <w:pPr>
              <w:jc w:val="center"/>
              <w:rPr>
                <w:rFonts w:ascii="仿宋" w:hAnsi="仿宋" w:eastAsia="仿宋" w:cs="宋体"/>
                <w:bCs/>
              </w:rPr>
            </w:pPr>
            <w:r>
              <w:rPr>
                <w:rFonts w:hint="eastAsia" w:ascii="仿宋" w:hAnsi="仿宋" w:eastAsia="仿宋" w:cs="宋体"/>
                <w:bCs/>
              </w:rPr>
              <w:t>2370</w:t>
            </w:r>
          </w:p>
        </w:tc>
        <w:tc>
          <w:tcPr>
            <w:tcW w:w="706" w:type="pct"/>
            <w:noWrap/>
            <w:vAlign w:val="center"/>
          </w:tcPr>
          <w:p>
            <w:pPr>
              <w:jc w:val="center"/>
              <w:rPr>
                <w:rFonts w:ascii="仿宋" w:hAnsi="仿宋" w:eastAsia="仿宋" w:cs="宋体"/>
                <w:bCs/>
              </w:rPr>
            </w:pPr>
            <w:r>
              <w:rPr>
                <w:rFonts w:hint="eastAsia" w:ascii="仿宋" w:hAnsi="仿宋" w:eastAsia="仿宋" w:cs="宋体"/>
                <w:bCs/>
              </w:rPr>
              <w:t>1020</w:t>
            </w:r>
          </w:p>
        </w:tc>
        <w:tc>
          <w:tcPr>
            <w:tcW w:w="706" w:type="pct"/>
            <w:noWrap/>
            <w:vAlign w:val="center"/>
          </w:tcPr>
          <w:p>
            <w:pPr>
              <w:jc w:val="center"/>
              <w:rPr>
                <w:rFonts w:ascii="仿宋" w:hAnsi="仿宋" w:eastAsia="仿宋" w:cs="宋体"/>
                <w:bCs/>
              </w:rPr>
            </w:pPr>
            <w:r>
              <w:rPr>
                <w:rFonts w:hint="eastAsia" w:ascii="仿宋" w:hAnsi="仿宋" w:eastAsia="仿宋" w:cs="宋体"/>
                <w:bCs/>
              </w:rPr>
              <w:t>352</w:t>
            </w:r>
          </w:p>
        </w:tc>
        <w:tc>
          <w:tcPr>
            <w:tcW w:w="706" w:type="pct"/>
            <w:noWrap/>
            <w:vAlign w:val="center"/>
          </w:tcPr>
          <w:p>
            <w:pPr>
              <w:jc w:val="center"/>
              <w:rPr>
                <w:rFonts w:ascii="仿宋" w:hAnsi="仿宋" w:eastAsia="仿宋" w:cs="宋体"/>
                <w:bCs/>
              </w:rPr>
            </w:pPr>
            <w:r>
              <w:rPr>
                <w:rFonts w:hint="eastAsia" w:ascii="仿宋" w:hAnsi="仿宋" w:eastAsia="仿宋" w:cs="宋体"/>
                <w:bCs/>
              </w:rPr>
              <w:t>83</w:t>
            </w:r>
          </w:p>
        </w:tc>
        <w:tc>
          <w:tcPr>
            <w:tcW w:w="709" w:type="pct"/>
            <w:noWrap/>
            <w:vAlign w:val="center"/>
          </w:tcPr>
          <w:p>
            <w:pPr>
              <w:jc w:val="center"/>
              <w:rPr>
                <w:rFonts w:ascii="仿宋" w:hAnsi="仿宋" w:eastAsia="仿宋" w:cs="宋体"/>
                <w:bC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noWrap/>
            <w:vAlign w:val="center"/>
          </w:tcPr>
          <w:p>
            <w:pPr>
              <w:jc w:val="center"/>
              <w:rPr>
                <w:rFonts w:ascii="仿宋" w:hAnsi="仿宋" w:eastAsia="仿宋" w:cs="宋体"/>
                <w:bCs/>
              </w:rPr>
            </w:pPr>
            <w:r>
              <w:rPr>
                <w:rFonts w:hint="eastAsia" w:ascii="仿宋" w:hAnsi="仿宋" w:eastAsia="仿宋" w:cs="宋体"/>
                <w:bCs/>
              </w:rPr>
              <w:t>5</w:t>
            </w:r>
          </w:p>
        </w:tc>
        <w:tc>
          <w:tcPr>
            <w:tcW w:w="706" w:type="pct"/>
            <w:noWrap/>
            <w:vAlign w:val="center"/>
          </w:tcPr>
          <w:p>
            <w:pPr>
              <w:jc w:val="center"/>
              <w:rPr>
                <w:rFonts w:ascii="仿宋" w:hAnsi="仿宋" w:eastAsia="仿宋" w:cs="宋体"/>
                <w:bCs/>
              </w:rPr>
            </w:pPr>
            <w:r>
              <w:rPr>
                <w:rFonts w:hint="eastAsia" w:ascii="仿宋" w:hAnsi="仿宋" w:eastAsia="仿宋" w:cs="宋体"/>
                <w:bCs/>
              </w:rPr>
              <w:t>100000</w:t>
            </w:r>
          </w:p>
        </w:tc>
        <w:tc>
          <w:tcPr>
            <w:tcW w:w="706" w:type="pct"/>
            <w:noWrap/>
            <w:vAlign w:val="center"/>
          </w:tcPr>
          <w:p>
            <w:pPr>
              <w:jc w:val="center"/>
              <w:rPr>
                <w:rFonts w:ascii="仿宋" w:hAnsi="仿宋" w:eastAsia="仿宋" w:cs="宋体"/>
                <w:bCs/>
              </w:rPr>
            </w:pPr>
            <w:r>
              <w:rPr>
                <w:rFonts w:hint="eastAsia" w:ascii="仿宋" w:hAnsi="仿宋" w:eastAsia="仿宋" w:cs="宋体"/>
                <w:bCs/>
              </w:rPr>
              <w:t>23700</w:t>
            </w:r>
          </w:p>
        </w:tc>
        <w:tc>
          <w:tcPr>
            <w:tcW w:w="706" w:type="pct"/>
            <w:noWrap/>
            <w:vAlign w:val="center"/>
          </w:tcPr>
          <w:p>
            <w:pPr>
              <w:jc w:val="center"/>
              <w:rPr>
                <w:rFonts w:ascii="仿宋" w:hAnsi="仿宋" w:eastAsia="仿宋" w:cs="宋体"/>
                <w:bCs/>
              </w:rPr>
            </w:pPr>
            <w:r>
              <w:rPr>
                <w:rFonts w:hint="eastAsia" w:ascii="仿宋" w:hAnsi="仿宋" w:eastAsia="仿宋" w:cs="宋体"/>
                <w:bCs/>
              </w:rPr>
              <w:t>10200</w:t>
            </w:r>
          </w:p>
        </w:tc>
        <w:tc>
          <w:tcPr>
            <w:tcW w:w="706" w:type="pct"/>
            <w:noWrap/>
            <w:vAlign w:val="center"/>
          </w:tcPr>
          <w:p>
            <w:pPr>
              <w:jc w:val="center"/>
              <w:rPr>
                <w:rFonts w:ascii="仿宋" w:hAnsi="仿宋" w:eastAsia="仿宋" w:cs="宋体"/>
                <w:bCs/>
              </w:rPr>
            </w:pPr>
            <w:r>
              <w:rPr>
                <w:rFonts w:hint="eastAsia" w:ascii="仿宋" w:hAnsi="仿宋" w:eastAsia="仿宋" w:cs="宋体"/>
                <w:bCs/>
              </w:rPr>
              <w:t>3520</w:t>
            </w:r>
          </w:p>
        </w:tc>
        <w:tc>
          <w:tcPr>
            <w:tcW w:w="706" w:type="pct"/>
            <w:noWrap/>
            <w:vAlign w:val="center"/>
          </w:tcPr>
          <w:p>
            <w:pPr>
              <w:jc w:val="center"/>
              <w:rPr>
                <w:rFonts w:ascii="仿宋" w:hAnsi="仿宋" w:eastAsia="仿宋" w:cs="宋体"/>
                <w:bCs/>
              </w:rPr>
            </w:pPr>
            <w:r>
              <w:rPr>
                <w:rFonts w:hint="eastAsia" w:ascii="仿宋" w:hAnsi="仿宋" w:eastAsia="仿宋" w:cs="宋体"/>
                <w:bCs/>
              </w:rPr>
              <w:t>832</w:t>
            </w:r>
          </w:p>
        </w:tc>
        <w:tc>
          <w:tcPr>
            <w:tcW w:w="709" w:type="pct"/>
            <w:noWrap/>
            <w:vAlign w:val="center"/>
          </w:tcPr>
          <w:p>
            <w:pPr>
              <w:jc w:val="center"/>
              <w:rPr>
                <w:rFonts w:ascii="仿宋" w:hAnsi="仿宋" w:eastAsia="仿宋" w:cs="宋体"/>
                <w:bCs/>
              </w:rPr>
            </w:pPr>
            <w:r>
              <w:rPr>
                <w:rFonts w:hint="eastAsia" w:ascii="仿宋" w:hAnsi="仿宋" w:eastAsia="仿宋" w:cs="宋体"/>
                <w:bCs/>
              </w:rP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noWrap/>
            <w:vAlign w:val="center"/>
          </w:tcPr>
          <w:p>
            <w:pPr>
              <w:jc w:val="center"/>
              <w:rPr>
                <w:rFonts w:ascii="仿宋" w:hAnsi="仿宋" w:eastAsia="仿宋" w:cs="宋体"/>
                <w:bCs/>
              </w:rPr>
            </w:pPr>
            <w:r>
              <w:rPr>
                <w:rFonts w:hint="eastAsia" w:ascii="仿宋" w:hAnsi="仿宋" w:eastAsia="仿宋" w:cs="宋体"/>
                <w:bCs/>
              </w:rPr>
              <w:t>6</w:t>
            </w:r>
          </w:p>
        </w:tc>
        <w:tc>
          <w:tcPr>
            <w:tcW w:w="706" w:type="pct"/>
            <w:noWrap/>
            <w:vAlign w:val="center"/>
          </w:tcPr>
          <w:p>
            <w:pPr>
              <w:jc w:val="center"/>
              <w:rPr>
                <w:rFonts w:ascii="仿宋" w:hAnsi="仿宋" w:eastAsia="仿宋" w:cs="宋体"/>
                <w:bCs/>
              </w:rPr>
            </w:pPr>
            <w:r>
              <w:rPr>
                <w:rFonts w:hint="eastAsia" w:ascii="仿宋" w:hAnsi="仿宋" w:eastAsia="仿宋" w:cs="宋体"/>
                <w:bCs/>
              </w:rPr>
              <w:t>1OOOOOO</w:t>
            </w:r>
          </w:p>
        </w:tc>
        <w:tc>
          <w:tcPr>
            <w:tcW w:w="706" w:type="pct"/>
            <w:noWrap/>
            <w:vAlign w:val="center"/>
          </w:tcPr>
          <w:p>
            <w:pPr>
              <w:jc w:val="center"/>
              <w:rPr>
                <w:rFonts w:ascii="仿宋" w:hAnsi="仿宋" w:eastAsia="仿宋" w:cs="宋体"/>
                <w:bCs/>
              </w:rPr>
            </w:pPr>
            <w:r>
              <w:rPr>
                <w:rFonts w:hint="eastAsia" w:ascii="仿宋" w:hAnsi="仿宋" w:eastAsia="仿宋" w:cs="宋体"/>
                <w:bCs/>
              </w:rPr>
              <w:t>237000</w:t>
            </w:r>
          </w:p>
        </w:tc>
        <w:tc>
          <w:tcPr>
            <w:tcW w:w="706" w:type="pct"/>
            <w:noWrap/>
            <w:vAlign w:val="center"/>
          </w:tcPr>
          <w:p>
            <w:pPr>
              <w:jc w:val="center"/>
              <w:rPr>
                <w:rFonts w:ascii="仿宋" w:hAnsi="仿宋" w:eastAsia="仿宋" w:cs="宋体"/>
                <w:bCs/>
              </w:rPr>
            </w:pPr>
            <w:r>
              <w:rPr>
                <w:rFonts w:hint="eastAsia" w:ascii="仿宋" w:hAnsi="仿宋" w:eastAsia="仿宋" w:cs="宋体"/>
                <w:bCs/>
              </w:rPr>
              <w:t>102000</w:t>
            </w:r>
          </w:p>
        </w:tc>
        <w:tc>
          <w:tcPr>
            <w:tcW w:w="706" w:type="pct"/>
            <w:noWrap/>
            <w:vAlign w:val="center"/>
          </w:tcPr>
          <w:p>
            <w:pPr>
              <w:jc w:val="center"/>
              <w:rPr>
                <w:rFonts w:ascii="仿宋" w:hAnsi="仿宋" w:eastAsia="仿宋" w:cs="宋体"/>
                <w:bCs/>
              </w:rPr>
            </w:pPr>
            <w:r>
              <w:rPr>
                <w:rFonts w:hint="eastAsia" w:ascii="仿宋" w:hAnsi="仿宋" w:eastAsia="仿宋" w:cs="宋体"/>
                <w:bCs/>
              </w:rPr>
              <w:t>35200</w:t>
            </w:r>
          </w:p>
        </w:tc>
        <w:tc>
          <w:tcPr>
            <w:tcW w:w="706" w:type="pct"/>
            <w:noWrap/>
            <w:vAlign w:val="center"/>
          </w:tcPr>
          <w:p>
            <w:pPr>
              <w:jc w:val="center"/>
              <w:rPr>
                <w:rFonts w:ascii="仿宋" w:hAnsi="仿宋" w:eastAsia="仿宋" w:cs="宋体"/>
                <w:bCs/>
              </w:rPr>
            </w:pPr>
            <w:r>
              <w:rPr>
                <w:rFonts w:hint="eastAsia" w:ascii="仿宋" w:hAnsi="仿宋" w:eastAsia="仿宋" w:cs="宋体"/>
                <w:bCs/>
              </w:rPr>
              <w:t>8320</w:t>
            </w:r>
          </w:p>
        </w:tc>
        <w:tc>
          <w:tcPr>
            <w:tcW w:w="709" w:type="pct"/>
            <w:noWrap/>
            <w:vAlign w:val="center"/>
          </w:tcPr>
          <w:p>
            <w:pPr>
              <w:jc w:val="center"/>
              <w:rPr>
                <w:rFonts w:ascii="仿宋" w:hAnsi="仿宋" w:eastAsia="仿宋" w:cs="宋体"/>
                <w:bCs/>
              </w:rPr>
            </w:pPr>
            <w:r>
              <w:rPr>
                <w:rFonts w:hint="eastAsia" w:ascii="仿宋" w:hAnsi="仿宋" w:eastAsia="仿宋" w:cs="宋体"/>
                <w:bCs/>
              </w:rPr>
              <w:t>293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noWrap/>
            <w:vAlign w:val="center"/>
          </w:tcPr>
          <w:p>
            <w:pPr>
              <w:jc w:val="center"/>
              <w:rPr>
                <w:rFonts w:ascii="仿宋" w:hAnsi="仿宋" w:eastAsia="仿宋" w:cs="宋体"/>
                <w:bCs/>
              </w:rPr>
            </w:pPr>
            <w:r>
              <w:rPr>
                <w:rFonts w:hint="eastAsia" w:ascii="仿宋" w:hAnsi="仿宋" w:eastAsia="仿宋" w:cs="宋体"/>
                <w:bCs/>
              </w:rPr>
              <w:t>7</w:t>
            </w: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r>
              <w:rPr>
                <w:rFonts w:hint="eastAsia" w:ascii="仿宋" w:hAnsi="仿宋" w:eastAsia="仿宋" w:cs="宋体"/>
                <w:bCs/>
              </w:rPr>
              <w:t>352000</w:t>
            </w:r>
          </w:p>
        </w:tc>
        <w:tc>
          <w:tcPr>
            <w:tcW w:w="706" w:type="pct"/>
            <w:noWrap/>
            <w:vAlign w:val="center"/>
          </w:tcPr>
          <w:p>
            <w:pPr>
              <w:jc w:val="center"/>
              <w:rPr>
                <w:rFonts w:ascii="仿宋" w:hAnsi="仿宋" w:eastAsia="仿宋" w:cs="宋体"/>
                <w:bCs/>
              </w:rPr>
            </w:pPr>
            <w:r>
              <w:rPr>
                <w:rFonts w:hint="eastAsia" w:ascii="仿宋" w:hAnsi="仿宋" w:eastAsia="仿宋" w:cs="宋体"/>
                <w:bCs/>
              </w:rPr>
              <w:t>83200</w:t>
            </w:r>
          </w:p>
        </w:tc>
        <w:tc>
          <w:tcPr>
            <w:tcW w:w="709" w:type="pct"/>
            <w:noWrap/>
            <w:vAlign w:val="center"/>
          </w:tcPr>
          <w:p>
            <w:pPr>
              <w:jc w:val="center"/>
              <w:rPr>
                <w:rFonts w:ascii="仿宋" w:hAnsi="仿宋" w:eastAsia="仿宋" w:cs="宋体"/>
                <w:bCs/>
              </w:rPr>
            </w:pPr>
            <w:r>
              <w:rPr>
                <w:rFonts w:hint="eastAsia" w:ascii="仿宋" w:hAnsi="仿宋" w:eastAsia="仿宋" w:cs="宋体"/>
                <w:bCs/>
              </w:rPr>
              <w:t>2930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noWrap/>
            <w:vAlign w:val="center"/>
          </w:tcPr>
          <w:p>
            <w:pPr>
              <w:jc w:val="center"/>
              <w:rPr>
                <w:rFonts w:ascii="仿宋" w:hAnsi="仿宋" w:eastAsia="仿宋" w:cs="宋体"/>
                <w:bCs/>
              </w:rPr>
            </w:pPr>
            <w:r>
              <w:rPr>
                <w:rFonts w:hint="eastAsia" w:ascii="仿宋" w:hAnsi="仿宋" w:eastAsia="仿宋" w:cs="宋体"/>
                <w:bCs/>
              </w:rPr>
              <w:t>8</w:t>
            </w: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r>
              <w:rPr>
                <w:rFonts w:hint="eastAsia" w:ascii="仿宋" w:hAnsi="仿宋" w:eastAsia="仿宋" w:cs="宋体"/>
                <w:bCs/>
              </w:rPr>
              <w:t>3520000</w:t>
            </w:r>
          </w:p>
        </w:tc>
        <w:tc>
          <w:tcPr>
            <w:tcW w:w="706" w:type="pct"/>
            <w:noWrap/>
            <w:vAlign w:val="center"/>
          </w:tcPr>
          <w:p>
            <w:pPr>
              <w:jc w:val="center"/>
              <w:rPr>
                <w:rFonts w:ascii="仿宋" w:hAnsi="仿宋" w:eastAsia="仿宋" w:cs="宋体"/>
                <w:bCs/>
              </w:rPr>
            </w:pPr>
            <w:r>
              <w:rPr>
                <w:rFonts w:hint="eastAsia" w:ascii="仿宋" w:hAnsi="仿宋" w:eastAsia="仿宋" w:cs="宋体"/>
                <w:bCs/>
              </w:rPr>
              <w:t>832000</w:t>
            </w:r>
          </w:p>
        </w:tc>
        <w:tc>
          <w:tcPr>
            <w:tcW w:w="709" w:type="pct"/>
            <w:noWrap/>
            <w:vAlign w:val="center"/>
          </w:tcPr>
          <w:p>
            <w:pPr>
              <w:jc w:val="center"/>
              <w:rPr>
                <w:rFonts w:ascii="仿宋" w:hAnsi="仿宋" w:eastAsia="仿宋" w:cs="宋体"/>
                <w:bCs/>
              </w:rPr>
            </w:pPr>
            <w:r>
              <w:rPr>
                <w:rFonts w:hint="eastAsia" w:ascii="仿宋" w:hAnsi="仿宋" w:eastAsia="仿宋" w:cs="宋体"/>
                <w:bCs/>
              </w:rPr>
              <w:t>29300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56" w:type="pct"/>
            <w:noWrap/>
            <w:vAlign w:val="center"/>
          </w:tcPr>
          <w:p>
            <w:pPr>
              <w:jc w:val="center"/>
              <w:rPr>
                <w:rFonts w:ascii="仿宋" w:hAnsi="仿宋" w:eastAsia="仿宋" w:cs="宋体"/>
                <w:bCs/>
              </w:rPr>
            </w:pPr>
            <w:r>
              <w:rPr>
                <w:rFonts w:hint="eastAsia" w:ascii="仿宋" w:hAnsi="仿宋" w:eastAsia="仿宋" w:cs="宋体"/>
                <w:bCs/>
              </w:rPr>
              <w:t>9</w:t>
            </w: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p>
        </w:tc>
        <w:tc>
          <w:tcPr>
            <w:tcW w:w="706" w:type="pct"/>
            <w:noWrap/>
            <w:vAlign w:val="center"/>
          </w:tcPr>
          <w:p>
            <w:pPr>
              <w:jc w:val="center"/>
              <w:rPr>
                <w:rFonts w:ascii="仿宋" w:hAnsi="仿宋" w:eastAsia="仿宋" w:cs="宋体"/>
                <w:bCs/>
              </w:rPr>
            </w:pPr>
            <w:r>
              <w:rPr>
                <w:rFonts w:hint="eastAsia" w:ascii="仿宋" w:hAnsi="仿宋" w:eastAsia="仿宋" w:cs="宋体"/>
                <w:bCs/>
              </w:rPr>
              <w:t>35200000</w:t>
            </w:r>
          </w:p>
        </w:tc>
        <w:tc>
          <w:tcPr>
            <w:tcW w:w="706" w:type="pct"/>
            <w:noWrap/>
            <w:vAlign w:val="center"/>
          </w:tcPr>
          <w:p>
            <w:pPr>
              <w:jc w:val="center"/>
              <w:rPr>
                <w:rFonts w:ascii="仿宋" w:hAnsi="仿宋" w:eastAsia="仿宋" w:cs="宋体"/>
                <w:bCs/>
              </w:rPr>
            </w:pPr>
            <w:r>
              <w:rPr>
                <w:rFonts w:hint="eastAsia" w:ascii="仿宋" w:hAnsi="仿宋" w:eastAsia="仿宋" w:cs="宋体"/>
                <w:bCs/>
              </w:rPr>
              <w:t>8320000</w:t>
            </w:r>
          </w:p>
        </w:tc>
        <w:tc>
          <w:tcPr>
            <w:tcW w:w="709" w:type="pct"/>
            <w:noWrap/>
            <w:vAlign w:val="center"/>
          </w:tcPr>
          <w:p>
            <w:pPr>
              <w:jc w:val="center"/>
              <w:rPr>
                <w:rFonts w:ascii="仿宋" w:hAnsi="仿宋" w:eastAsia="仿宋" w:cs="宋体"/>
                <w:bCs/>
              </w:rPr>
            </w:pPr>
            <w:r>
              <w:rPr>
                <w:rFonts w:hint="eastAsia" w:ascii="仿宋" w:hAnsi="仿宋" w:eastAsia="仿宋" w:cs="宋体"/>
                <w:bCs/>
              </w:rPr>
              <w:t>293000</w:t>
            </w:r>
          </w:p>
        </w:tc>
      </w:tr>
    </w:tbl>
    <w:p>
      <w:pPr>
        <w:spacing w:line="360" w:lineRule="auto"/>
        <w:rPr>
          <w:rFonts w:ascii="仿宋" w:hAnsi="仿宋" w:eastAsia="仿宋"/>
          <w:sz w:val="24"/>
        </w:rPr>
      </w:pPr>
      <w:r>
        <w:rPr>
          <w:rFonts w:hint="eastAsia" w:ascii="仿宋" w:hAnsi="仿宋" w:eastAsia="仿宋"/>
          <w:sz w:val="24"/>
        </w:rPr>
        <w:t>（6） 以上使用的检测设备自备及检测所产生的费用包含在合同价格中，甲方不另行支付。</w:t>
      </w:r>
    </w:p>
    <w:p>
      <w:pPr>
        <w:spacing w:line="360" w:lineRule="auto"/>
        <w:rPr>
          <w:rFonts w:ascii="仿宋" w:hAnsi="仿宋" w:eastAsia="仿宋"/>
          <w:sz w:val="24"/>
        </w:rPr>
      </w:pPr>
      <w:r>
        <w:rPr>
          <w:rFonts w:hint="eastAsia" w:ascii="仿宋" w:hAnsi="仿宋" w:eastAsia="仿宋"/>
          <w:sz w:val="24"/>
        </w:rPr>
        <w:t>（五）包装、保险及发运、保管要求：</w:t>
      </w:r>
    </w:p>
    <w:p>
      <w:pPr>
        <w:spacing w:line="360" w:lineRule="auto"/>
        <w:rPr>
          <w:rFonts w:ascii="仿宋" w:hAnsi="仿宋" w:eastAsia="仿宋"/>
          <w:sz w:val="24"/>
        </w:rPr>
      </w:pPr>
      <w:r>
        <w:rPr>
          <w:rFonts w:hint="eastAsia" w:ascii="仿宋" w:hAnsi="仿宋" w:eastAsia="仿宋"/>
          <w:sz w:val="24"/>
        </w:rPr>
        <w:t>1、空气过滤器的包装应是制造商原厂包装，其包装均应有良好的防湿、防锈、防潮、防雨、防腐及防碰撞的措施。凡由于包装不良造成的损失和由此产生的费用均由乙方承担。</w:t>
      </w:r>
    </w:p>
    <w:p>
      <w:pPr>
        <w:spacing w:line="360" w:lineRule="auto"/>
        <w:rPr>
          <w:rFonts w:ascii="仿宋" w:hAnsi="仿宋" w:eastAsia="仿宋"/>
          <w:sz w:val="24"/>
        </w:rPr>
      </w:pPr>
      <w:r>
        <w:rPr>
          <w:rFonts w:hint="eastAsia" w:ascii="仿宋" w:hAnsi="仿宋" w:eastAsia="仿宋"/>
          <w:sz w:val="24"/>
        </w:rPr>
        <w:t>2、乙方负责将空气过滤器货物到现场过程中的全部运输，包括装卸车、货物现场的搬运。</w:t>
      </w:r>
    </w:p>
    <w:p>
      <w:pPr>
        <w:spacing w:line="360" w:lineRule="auto"/>
        <w:rPr>
          <w:rFonts w:ascii="仿宋" w:hAnsi="仿宋" w:eastAsia="仿宋"/>
          <w:sz w:val="24"/>
        </w:rPr>
      </w:pPr>
      <w:r>
        <w:rPr>
          <w:rFonts w:hint="eastAsia" w:ascii="仿宋" w:hAnsi="仿宋" w:eastAsia="仿宋"/>
          <w:sz w:val="24"/>
        </w:rPr>
        <w:t>3、各类空气过滤器，应提供装箱清单，按装箱清单验收货物。</w:t>
      </w:r>
    </w:p>
    <w:p>
      <w:pPr>
        <w:spacing w:line="360" w:lineRule="auto"/>
        <w:rPr>
          <w:rFonts w:ascii="仿宋" w:hAnsi="仿宋" w:eastAsia="仿宋"/>
          <w:sz w:val="24"/>
        </w:rPr>
      </w:pPr>
      <w:r>
        <w:rPr>
          <w:rFonts w:hint="eastAsia" w:ascii="仿宋" w:hAnsi="仿宋" w:eastAsia="仿宋"/>
          <w:sz w:val="24"/>
        </w:rPr>
        <w:t>4、货物在现场的保管由乙方负责，直至项目安装、验收完毕。</w:t>
      </w:r>
    </w:p>
    <w:p>
      <w:pPr>
        <w:spacing w:line="360" w:lineRule="auto"/>
        <w:rPr>
          <w:rFonts w:ascii="仿宋" w:hAnsi="仿宋" w:eastAsia="仿宋"/>
          <w:sz w:val="24"/>
        </w:rPr>
      </w:pPr>
      <w:r>
        <w:rPr>
          <w:rFonts w:hint="eastAsia" w:ascii="仿宋" w:hAnsi="仿宋" w:eastAsia="仿宋"/>
          <w:sz w:val="24"/>
        </w:rPr>
        <w:t>5、货物在系统安装调试验收合格前的保险由乙方负责，乙方负责其派出的现场服务人员人身意外保险。</w:t>
      </w:r>
    </w:p>
    <w:p>
      <w:pPr>
        <w:spacing w:line="360" w:lineRule="auto"/>
        <w:rPr>
          <w:rFonts w:ascii="仿宋" w:hAnsi="仿宋" w:eastAsia="仿宋"/>
          <w:sz w:val="24"/>
        </w:rPr>
      </w:pPr>
      <w:r>
        <w:rPr>
          <w:rFonts w:hint="eastAsia" w:ascii="仿宋" w:hAnsi="仿宋" w:eastAsia="仿宋"/>
          <w:sz w:val="24"/>
        </w:rPr>
        <w:t>6、各院区空气过滤器至甲方指定的使用现场的包装、保险及发运等环节和费用均由乙方负责。</w:t>
      </w:r>
    </w:p>
    <w:p>
      <w:pPr>
        <w:spacing w:line="360" w:lineRule="auto"/>
        <w:rPr>
          <w:rFonts w:ascii="仿宋" w:hAnsi="仿宋" w:eastAsia="仿宋"/>
          <w:sz w:val="24"/>
        </w:rPr>
      </w:pPr>
      <w:r>
        <w:rPr>
          <w:rFonts w:hint="eastAsia" w:ascii="仿宋" w:hAnsi="仿宋" w:eastAsia="仿宋"/>
          <w:sz w:val="24"/>
        </w:rPr>
        <w:t>四、验收标准：</w:t>
      </w:r>
    </w:p>
    <w:p>
      <w:pPr>
        <w:spacing w:line="360" w:lineRule="auto"/>
        <w:rPr>
          <w:rFonts w:ascii="仿宋" w:hAnsi="仿宋" w:eastAsia="仿宋"/>
          <w:sz w:val="24"/>
        </w:rPr>
      </w:pPr>
      <w:r>
        <w:rPr>
          <w:rFonts w:hint="eastAsia" w:ascii="仿宋" w:hAnsi="仿宋" w:eastAsia="仿宋"/>
          <w:sz w:val="24"/>
        </w:rPr>
        <w:t>1、所有过滤器的拆箱、安装、调试等项工作由乙方负责，但需在甲方指定人员的参与下进行。调试的原始记录须经各方签字后作为验收的文件之一。</w:t>
      </w:r>
    </w:p>
    <w:p>
      <w:pPr>
        <w:spacing w:line="360" w:lineRule="auto"/>
        <w:rPr>
          <w:rFonts w:ascii="仿宋" w:hAnsi="仿宋" w:eastAsia="仿宋"/>
          <w:sz w:val="24"/>
        </w:rPr>
      </w:pPr>
      <w:r>
        <w:rPr>
          <w:rFonts w:hint="eastAsia" w:ascii="仿宋" w:hAnsi="仿宋" w:eastAsia="仿宋"/>
          <w:sz w:val="24"/>
        </w:rPr>
        <w:t>2、所有过滤器在开箱时应完好，无破损。数量、质量及性能不低于本项目采购文件中提出的要求。</w:t>
      </w:r>
    </w:p>
    <w:p>
      <w:pPr>
        <w:spacing w:line="360" w:lineRule="auto"/>
        <w:rPr>
          <w:rFonts w:ascii="仿宋" w:hAnsi="仿宋" w:eastAsia="仿宋"/>
          <w:sz w:val="24"/>
        </w:rPr>
      </w:pPr>
      <w:r>
        <w:rPr>
          <w:rFonts w:hint="eastAsia" w:ascii="仿宋" w:hAnsi="仿宋" w:eastAsia="仿宋"/>
          <w:sz w:val="24"/>
        </w:rPr>
        <w:t>3、验收由甲方、乙方及相关人员依国家有关标准、合同及有关附件要求进行。</w:t>
      </w:r>
    </w:p>
    <w:p>
      <w:pPr>
        <w:spacing w:line="360" w:lineRule="auto"/>
        <w:rPr>
          <w:rFonts w:ascii="仿宋" w:hAnsi="仿宋" w:eastAsia="仿宋"/>
          <w:sz w:val="24"/>
        </w:rPr>
      </w:pPr>
      <w:r>
        <w:rPr>
          <w:rFonts w:hint="eastAsia" w:ascii="仿宋" w:hAnsi="仿宋" w:eastAsia="仿宋"/>
          <w:sz w:val="24"/>
        </w:rPr>
        <w:t>4、验收（履约）标准：乙方所供货物应符合中华人民共和国国家安全质量标准、环保标准或行业标准；符合采购文件和响应承诺中甲方认可的参数及各项要求。</w:t>
      </w:r>
    </w:p>
    <w:p>
      <w:pPr>
        <w:spacing w:line="360" w:lineRule="auto"/>
        <w:rPr>
          <w:rFonts w:ascii="仿宋" w:hAnsi="仿宋" w:eastAsia="仿宋"/>
          <w:sz w:val="24"/>
        </w:rPr>
      </w:pPr>
      <w:r>
        <w:rPr>
          <w:rFonts w:hint="eastAsia" w:ascii="仿宋" w:hAnsi="仿宋" w:eastAsia="仿宋"/>
          <w:sz w:val="24"/>
        </w:rPr>
        <w:t>五、售后服务：乙方对于出现不符合质量、服务标准的产品实行包退包换；乙方须于接到甲方通知的1个工作日内，派专业人员上门服务，在3个工作日内保证按要求完成更换等服务。</w:t>
      </w:r>
    </w:p>
    <w:p>
      <w:pPr>
        <w:spacing w:line="360" w:lineRule="auto"/>
        <w:rPr>
          <w:rFonts w:ascii="仿宋" w:hAnsi="仿宋" w:eastAsia="仿宋"/>
          <w:sz w:val="24"/>
        </w:rPr>
      </w:pPr>
      <w:r>
        <w:rPr>
          <w:rFonts w:hint="eastAsia" w:ascii="仿宋" w:hAnsi="仿宋" w:eastAsia="仿宋"/>
          <w:sz w:val="24"/>
        </w:rPr>
        <w:t>六、项目实施地点、时间：</w:t>
      </w:r>
    </w:p>
    <w:p>
      <w:pPr>
        <w:spacing w:line="360" w:lineRule="auto"/>
        <w:rPr>
          <w:rFonts w:ascii="仿宋" w:hAnsi="仿宋" w:eastAsia="仿宋"/>
          <w:sz w:val="24"/>
        </w:rPr>
      </w:pPr>
      <w:r>
        <w:rPr>
          <w:rFonts w:hint="eastAsia" w:ascii="仿宋" w:hAnsi="仿宋" w:eastAsia="仿宋"/>
          <w:sz w:val="24"/>
        </w:rPr>
        <w:t>1、项目实施地点：广州市妇女儿童医疗中心</w:t>
      </w:r>
      <w:r>
        <w:rPr>
          <w:rFonts w:hint="eastAsia" w:ascii="仿宋" w:hAnsi="仿宋" w:eastAsia="仿宋"/>
          <w:sz w:val="24"/>
          <w:lang w:val="en-US" w:eastAsia="zh-CN"/>
        </w:rPr>
        <w:t>增城</w:t>
      </w:r>
      <w:r>
        <w:rPr>
          <w:rFonts w:hint="eastAsia" w:ascii="仿宋" w:hAnsi="仿宋" w:eastAsia="仿宋"/>
          <w:sz w:val="24"/>
        </w:rPr>
        <w:t>院区或甲方指定地点。</w:t>
      </w:r>
    </w:p>
    <w:p>
      <w:pPr>
        <w:spacing w:line="360" w:lineRule="auto"/>
        <w:rPr>
          <w:rFonts w:ascii="仿宋" w:hAnsi="仿宋" w:eastAsia="仿宋"/>
          <w:sz w:val="24"/>
        </w:rPr>
      </w:pPr>
      <w:r>
        <w:rPr>
          <w:rFonts w:hint="eastAsia" w:ascii="仿宋" w:hAnsi="仿宋" w:eastAsia="仿宋"/>
          <w:sz w:val="24"/>
        </w:rPr>
        <w:t>2、项目实施时间：合同生效之日起</w:t>
      </w:r>
      <w:r>
        <w:rPr>
          <w:rFonts w:hint="eastAsia" w:ascii="仿宋" w:hAnsi="仿宋" w:eastAsia="仿宋"/>
          <w:sz w:val="24"/>
          <w:lang w:val="en-US" w:eastAsia="zh-CN"/>
        </w:rPr>
        <w:t>1</w:t>
      </w:r>
      <w:r>
        <w:rPr>
          <w:rFonts w:hint="eastAsia" w:ascii="仿宋" w:hAnsi="仿宋" w:eastAsia="仿宋"/>
          <w:sz w:val="24"/>
        </w:rPr>
        <w:t>年。</w:t>
      </w:r>
    </w:p>
    <w:p>
      <w:pPr>
        <w:spacing w:line="360" w:lineRule="auto"/>
        <w:rPr>
          <w:rFonts w:ascii="仿宋" w:hAnsi="仿宋" w:eastAsia="仿宋"/>
          <w:sz w:val="24"/>
        </w:rPr>
      </w:pPr>
      <w:r>
        <w:rPr>
          <w:rFonts w:hint="eastAsia" w:ascii="仿宋" w:hAnsi="仿宋" w:eastAsia="仿宋"/>
          <w:sz w:val="24"/>
        </w:rPr>
        <w:t>七、付款方式：</w:t>
      </w:r>
    </w:p>
    <w:p>
      <w:pPr>
        <w:spacing w:line="360" w:lineRule="auto"/>
        <w:rPr>
          <w:rFonts w:ascii="仿宋" w:hAnsi="仿宋" w:eastAsia="仿宋"/>
          <w:sz w:val="24"/>
        </w:rPr>
      </w:pPr>
      <w:r>
        <w:rPr>
          <w:rFonts w:hint="eastAsia" w:ascii="仿宋" w:hAnsi="仿宋" w:eastAsia="仿宋"/>
          <w:sz w:val="24"/>
        </w:rPr>
        <w:t>1、甲方以银行转账形式每月按实结算货款，根据每次送货的品种和数量，按</w:t>
      </w:r>
      <w:r>
        <w:rPr>
          <w:rFonts w:hint="eastAsia" w:ascii="仿宋" w:hAnsi="仿宋" w:eastAsia="仿宋"/>
          <w:sz w:val="24"/>
          <w:lang w:eastAsia="zh-CN"/>
        </w:rPr>
        <w:t>成交</w:t>
      </w:r>
      <w:r>
        <w:rPr>
          <w:rFonts w:hint="eastAsia" w:ascii="仿宋" w:hAnsi="仿宋" w:eastAsia="仿宋"/>
          <w:sz w:val="24"/>
        </w:rPr>
        <w:t>单价结算。乙方每月10日前向甲方提交发票、送货清单等结算资料，甲方收到发票核对无误后5个工作日内开始办理支付手续。</w:t>
      </w:r>
    </w:p>
    <w:p>
      <w:pPr>
        <w:spacing w:line="360" w:lineRule="auto"/>
        <w:rPr>
          <w:rFonts w:ascii="仿宋" w:hAnsi="仿宋" w:eastAsia="仿宋"/>
          <w:sz w:val="24"/>
        </w:rPr>
      </w:pPr>
      <w:r>
        <w:rPr>
          <w:rFonts w:hint="eastAsia" w:ascii="仿宋" w:hAnsi="仿宋" w:eastAsia="仿宋"/>
          <w:sz w:val="24"/>
        </w:rPr>
        <w:t>2、因甲方使用的是财政资金，甲方在前款规定的付款时间为向政府采购支付部门提出办理财政支付申请手续的时间（不含政府财政支付部门审核的时间），在规定时间内提出支付申请手续后即视为甲方已经按期支付。</w:t>
      </w:r>
      <w:r>
        <w:rPr>
          <w:rFonts w:hint="eastAsia" w:ascii="仿宋" w:hAnsi="仿宋" w:eastAsia="仿宋"/>
          <w:sz w:val="24"/>
        </w:rPr>
        <w:tab/>
      </w:r>
    </w:p>
    <w:p>
      <w:pPr>
        <w:spacing w:line="360" w:lineRule="auto"/>
        <w:rPr>
          <w:rFonts w:ascii="仿宋" w:hAnsi="仿宋" w:eastAsia="仿宋"/>
          <w:sz w:val="24"/>
        </w:rPr>
      </w:pPr>
      <w:r>
        <w:rPr>
          <w:rFonts w:hint="eastAsia" w:ascii="仿宋" w:hAnsi="仿宋" w:eastAsia="仿宋"/>
          <w:sz w:val="24"/>
        </w:rPr>
        <w:t>3、乙方在首次请款时需向甲方提交以下资料：</w:t>
      </w:r>
    </w:p>
    <w:p>
      <w:pPr>
        <w:spacing w:line="360" w:lineRule="auto"/>
        <w:rPr>
          <w:rFonts w:ascii="仿宋" w:hAnsi="仿宋" w:eastAsia="仿宋"/>
          <w:sz w:val="24"/>
        </w:rPr>
      </w:pPr>
      <w:r>
        <w:rPr>
          <w:rFonts w:hint="eastAsia" w:ascii="仿宋" w:hAnsi="仿宋" w:eastAsia="仿宋"/>
          <w:sz w:val="24"/>
        </w:rPr>
        <w:t>⑴ 合同；</w:t>
      </w:r>
    </w:p>
    <w:p>
      <w:pPr>
        <w:spacing w:line="360" w:lineRule="auto"/>
        <w:rPr>
          <w:rFonts w:ascii="仿宋" w:hAnsi="仿宋" w:eastAsia="仿宋"/>
          <w:sz w:val="24"/>
        </w:rPr>
      </w:pPr>
      <w:r>
        <w:rPr>
          <w:rFonts w:hint="eastAsia" w:ascii="仿宋" w:hAnsi="仿宋" w:eastAsia="仿宋"/>
          <w:sz w:val="24"/>
        </w:rPr>
        <w:t>⑵乙方开具的正式发票，送货清单；</w:t>
      </w:r>
    </w:p>
    <w:p>
      <w:pPr>
        <w:spacing w:line="360" w:lineRule="auto"/>
        <w:rPr>
          <w:rFonts w:ascii="仿宋" w:hAnsi="仿宋" w:eastAsia="仿宋"/>
          <w:sz w:val="24"/>
        </w:rPr>
      </w:pPr>
      <w:r>
        <w:rPr>
          <w:rFonts w:hint="eastAsia" w:ascii="仿宋" w:hAnsi="仿宋" w:eastAsia="仿宋"/>
          <w:sz w:val="24"/>
        </w:rPr>
        <w:t>⑶</w:t>
      </w:r>
      <w:r>
        <w:rPr>
          <w:rFonts w:hint="eastAsia" w:ascii="仿宋" w:hAnsi="仿宋" w:eastAsia="仿宋"/>
          <w:sz w:val="24"/>
          <w:lang w:eastAsia="zh-CN"/>
        </w:rPr>
        <w:t>成交</w:t>
      </w:r>
      <w:r>
        <w:rPr>
          <w:rFonts w:hint="eastAsia" w:ascii="仿宋" w:hAnsi="仿宋" w:eastAsia="仿宋"/>
          <w:sz w:val="24"/>
        </w:rPr>
        <w:t>通知书；</w:t>
      </w:r>
    </w:p>
    <w:p>
      <w:pPr>
        <w:spacing w:line="360" w:lineRule="auto"/>
        <w:rPr>
          <w:rFonts w:ascii="仿宋" w:hAnsi="仿宋" w:eastAsia="仿宋"/>
          <w:sz w:val="24"/>
        </w:rPr>
      </w:pPr>
      <w:r>
        <w:rPr>
          <w:rFonts w:hint="eastAsia" w:ascii="仿宋" w:hAnsi="仿宋" w:eastAsia="仿宋"/>
          <w:sz w:val="24"/>
        </w:rPr>
        <w:t>⑷银行履约保函。</w:t>
      </w:r>
    </w:p>
    <w:p>
      <w:pPr>
        <w:spacing w:line="360" w:lineRule="auto"/>
        <w:rPr>
          <w:rFonts w:ascii="仿宋" w:hAnsi="仿宋" w:eastAsia="仿宋"/>
          <w:sz w:val="24"/>
        </w:rPr>
      </w:pPr>
      <w:r>
        <w:rPr>
          <w:rFonts w:hint="eastAsia" w:ascii="仿宋" w:hAnsi="仿宋" w:eastAsia="仿宋"/>
          <w:sz w:val="24"/>
        </w:rPr>
        <w:t>4、乙方与甲方签订合同后 15 个工作日内，按不少于合同总价的 1%以银行保函的形式向甲方提交履约保证金。若乙方没有违约行为，合同期满后甲方收到乙方退还保函申请之日起 30 个工作日内无息退还乙方。甲方逾期退还履约保函的，应当按中国人民银行授权的全国银行间同业拆借中心在逾期当月 20 日（遇节假日顺延）9 时 30 分公布的贷款市场报价利率上浮 20％后 的利率支付超期资金占用费，但因乙方自身原因导致无法及时退还的除外。下列任何一种情况发 生时，甲方有权不予退还履约保函：（一）有明显证据证明乙方未完全履行本合同约定的（二）乙方有明显过错致甲方造成损失的。</w:t>
      </w:r>
    </w:p>
    <w:p>
      <w:pPr>
        <w:spacing w:line="360" w:lineRule="auto"/>
        <w:rPr>
          <w:rFonts w:ascii="仿宋" w:hAnsi="仿宋" w:eastAsia="仿宋"/>
          <w:sz w:val="24"/>
        </w:rPr>
      </w:pPr>
      <w:r>
        <w:rPr>
          <w:rFonts w:hint="eastAsia" w:ascii="仿宋" w:hAnsi="仿宋" w:eastAsia="仿宋"/>
          <w:sz w:val="24"/>
        </w:rPr>
        <w:t>八、违约责任：</w:t>
      </w:r>
    </w:p>
    <w:p>
      <w:pPr>
        <w:spacing w:line="360" w:lineRule="auto"/>
        <w:rPr>
          <w:rFonts w:ascii="仿宋" w:hAnsi="仿宋" w:eastAsia="仿宋"/>
          <w:sz w:val="24"/>
        </w:rPr>
      </w:pPr>
      <w:r>
        <w:rPr>
          <w:rFonts w:hint="eastAsia" w:ascii="仿宋" w:hAnsi="仿宋" w:eastAsia="仿宋"/>
          <w:sz w:val="24"/>
        </w:rPr>
        <w:t>1、乙方交付的货品规格、型号、技术参数与</w:t>
      </w:r>
      <w:r>
        <w:rPr>
          <w:rFonts w:hint="eastAsia" w:ascii="仿宋" w:hAnsi="仿宋" w:eastAsia="仿宋"/>
          <w:sz w:val="24"/>
          <w:lang w:eastAsia="zh-CN"/>
        </w:rPr>
        <w:t>响应</w:t>
      </w:r>
      <w:r>
        <w:rPr>
          <w:rFonts w:hint="eastAsia" w:ascii="仿宋" w:hAnsi="仿宋" w:eastAsia="仿宋"/>
          <w:sz w:val="24"/>
        </w:rPr>
        <w:t>文件或采购文件不符时，甲方有权拒收，乙方需向甲方偿付不合格货物总值的三倍违约金。一批次送货5个品种货物出现这类情况的和单一品种每月累计出现3次这类情况的，按违约处理，甲方有权终止合同，不予退还履约保证金，并上报监管部门。</w:t>
      </w:r>
    </w:p>
    <w:p>
      <w:pPr>
        <w:spacing w:line="360" w:lineRule="auto"/>
        <w:rPr>
          <w:rFonts w:ascii="仿宋" w:hAnsi="仿宋" w:eastAsia="仿宋"/>
          <w:sz w:val="24"/>
        </w:rPr>
      </w:pPr>
      <w:r>
        <w:rPr>
          <w:rFonts w:hint="eastAsia" w:ascii="仿宋" w:hAnsi="仿宋" w:eastAsia="仿宋"/>
          <w:sz w:val="24"/>
        </w:rPr>
        <w:t>2、乙方不供应甲方指定型号、规格、技术指标的货物，提出书面申请要更换别的型号、规格和技术指标的，经甲方证实指定的型号、规格和技术指标的货物在市场上有充裕的货源，这种情况出现3次，甲方有权终止合同。</w:t>
      </w:r>
    </w:p>
    <w:p>
      <w:pPr>
        <w:spacing w:line="360" w:lineRule="auto"/>
        <w:rPr>
          <w:rFonts w:ascii="仿宋" w:hAnsi="仿宋" w:eastAsia="仿宋"/>
          <w:sz w:val="24"/>
        </w:rPr>
      </w:pPr>
      <w:r>
        <w:rPr>
          <w:rFonts w:hint="eastAsia" w:ascii="仿宋" w:hAnsi="仿宋" w:eastAsia="仿宋"/>
          <w:sz w:val="24"/>
        </w:rPr>
        <w:t>3、双方在货物质量上有异议，协商不成时，经第三方检测机构鉴定乙方所供货品确为伪劣商品或不符合</w:t>
      </w:r>
      <w:r>
        <w:rPr>
          <w:rFonts w:hint="eastAsia" w:ascii="仿宋" w:hAnsi="仿宋" w:eastAsia="仿宋"/>
          <w:sz w:val="24"/>
          <w:lang w:eastAsia="zh-CN"/>
        </w:rPr>
        <w:t>响应文件</w:t>
      </w:r>
      <w:r>
        <w:rPr>
          <w:rFonts w:hint="eastAsia" w:ascii="仿宋" w:hAnsi="仿宋" w:eastAsia="仿宋"/>
          <w:sz w:val="24"/>
        </w:rPr>
        <w:t>要求的，甲方有权拒收，乙方需向甲方偿付不合格货物总值的三倍违约金；情节严重的，甲方有权终止合同，不予退还履约保证金，乙方应承担货品的检测费用及违约费用并负一切法律责任。</w:t>
      </w:r>
    </w:p>
    <w:p>
      <w:pPr>
        <w:spacing w:line="360" w:lineRule="auto"/>
        <w:rPr>
          <w:rFonts w:ascii="仿宋" w:hAnsi="仿宋" w:eastAsia="仿宋"/>
          <w:sz w:val="24"/>
        </w:rPr>
      </w:pPr>
      <w:r>
        <w:rPr>
          <w:rFonts w:hint="eastAsia" w:ascii="仿宋" w:hAnsi="仿宋" w:eastAsia="仿宋"/>
          <w:sz w:val="24"/>
        </w:rPr>
        <w:t>4、乙方</w:t>
      </w:r>
      <w:r>
        <w:rPr>
          <w:rFonts w:hint="eastAsia" w:ascii="仿宋" w:hAnsi="仿宋" w:eastAsia="仿宋"/>
          <w:sz w:val="24"/>
          <w:lang w:eastAsia="zh-CN"/>
        </w:rPr>
        <w:t>响应</w:t>
      </w:r>
      <w:r>
        <w:rPr>
          <w:rFonts w:hint="eastAsia" w:ascii="仿宋" w:hAnsi="仿宋" w:eastAsia="仿宋"/>
          <w:sz w:val="24"/>
        </w:rPr>
        <w:t>时所提供的货物如在实际供货时已经停产（不列入该厂家当时的产品系统），如果未能按原价提供更优质的货物，则按违约处理。</w:t>
      </w:r>
    </w:p>
    <w:p>
      <w:pPr>
        <w:spacing w:line="360" w:lineRule="auto"/>
        <w:rPr>
          <w:rFonts w:ascii="仿宋" w:hAnsi="仿宋" w:eastAsia="仿宋"/>
          <w:sz w:val="24"/>
        </w:rPr>
      </w:pPr>
      <w:r>
        <w:rPr>
          <w:rFonts w:hint="eastAsia" w:ascii="仿宋" w:hAnsi="仿宋" w:eastAsia="仿宋"/>
          <w:sz w:val="24"/>
        </w:rPr>
        <w:t>5、乙方转包或分包本项目的，按违约处理，甲方有权终止合同，不予退还履约保证金，并上报监管部门，乙方承担一切违约责任。</w:t>
      </w:r>
    </w:p>
    <w:p>
      <w:pPr>
        <w:spacing w:line="360" w:lineRule="auto"/>
        <w:rPr>
          <w:rFonts w:ascii="仿宋" w:hAnsi="仿宋" w:eastAsia="仿宋"/>
          <w:sz w:val="24"/>
        </w:rPr>
      </w:pPr>
      <w:r>
        <w:rPr>
          <w:rFonts w:hint="eastAsia" w:ascii="仿宋" w:hAnsi="仿宋" w:eastAsia="仿宋"/>
          <w:sz w:val="24"/>
        </w:rPr>
        <w:t>6、 根据甲方不同科室的正常运行要求，乙方需灵活配合甲方的过滤器安装需求。如乙方拒不配合甲方要求的，不按</w:t>
      </w:r>
      <w:r>
        <w:rPr>
          <w:rFonts w:hint="eastAsia" w:ascii="仿宋" w:hAnsi="仿宋" w:eastAsia="仿宋"/>
          <w:sz w:val="24"/>
          <w:lang w:eastAsia="zh-CN"/>
        </w:rPr>
        <w:t>响应</w:t>
      </w:r>
      <w:r>
        <w:rPr>
          <w:rFonts w:hint="eastAsia" w:ascii="仿宋" w:hAnsi="仿宋" w:eastAsia="仿宋"/>
          <w:sz w:val="24"/>
        </w:rPr>
        <w:t>文件承诺提供服务的，甲方每发现一次扣罚乙方500元；如连续三次拒不配合的，甲方有权终止合同，不予退还履约保证金，并上报监管部门，乙方承担一切违约责任及甲方的损失。</w:t>
      </w:r>
    </w:p>
    <w:p>
      <w:pPr>
        <w:spacing w:line="360" w:lineRule="auto"/>
        <w:rPr>
          <w:rFonts w:ascii="仿宋" w:hAnsi="仿宋" w:eastAsia="仿宋"/>
          <w:sz w:val="24"/>
        </w:rPr>
      </w:pPr>
      <w:r>
        <w:rPr>
          <w:rFonts w:hint="eastAsia" w:ascii="仿宋" w:hAnsi="仿宋" w:eastAsia="仿宋"/>
          <w:sz w:val="24"/>
        </w:rPr>
        <w:t>九、不可抗力：</w:t>
      </w:r>
    </w:p>
    <w:p>
      <w:pPr>
        <w:spacing w:line="360" w:lineRule="auto"/>
        <w:ind w:firstLine="480" w:firstLineChars="200"/>
        <w:rPr>
          <w:rFonts w:ascii="仿宋" w:hAnsi="仿宋" w:eastAsia="仿宋"/>
          <w:sz w:val="24"/>
        </w:rPr>
      </w:pPr>
      <w:r>
        <w:rPr>
          <w:rFonts w:hint="eastAsia" w:ascii="仿宋" w:hAnsi="仿宋" w:eastAsia="仿宋"/>
          <w:sz w:val="24"/>
        </w:rPr>
        <w:t>由于不可预见、不可避免、不可克服等不可抗力的原因，包括地震、火灾、战争、洪水、正常的人员来源中断、罢工、动乱及国家紧急情况而延迟或中断提供服务，一方不能履行合同义务的，应当在不可抗力发生之日起 5 天内以书面形式通知对方，证明不可抗力事件的存在。不可抗力事件发生后，甲方和乙方应当积极寻求以合理的方式履行本合同。如不可抗力无法消除，致使合同目的无法实现的，双方均有权解除合同，且均不互相索赔。</w:t>
      </w:r>
    </w:p>
    <w:p>
      <w:pPr>
        <w:spacing w:line="360" w:lineRule="auto"/>
        <w:rPr>
          <w:rFonts w:ascii="仿宋" w:hAnsi="仿宋" w:eastAsia="仿宋"/>
          <w:sz w:val="24"/>
        </w:rPr>
      </w:pPr>
      <w:r>
        <w:rPr>
          <w:rFonts w:hint="eastAsia" w:ascii="仿宋" w:hAnsi="仿宋" w:eastAsia="仿宋"/>
          <w:sz w:val="24"/>
        </w:rPr>
        <w:t>十、争议及解决方式：</w:t>
      </w:r>
    </w:p>
    <w:p>
      <w:pPr>
        <w:spacing w:line="360" w:lineRule="auto"/>
        <w:ind w:firstLine="480" w:firstLineChars="200"/>
        <w:rPr>
          <w:rFonts w:ascii="仿宋" w:hAnsi="仿宋" w:eastAsia="仿宋"/>
          <w:sz w:val="24"/>
        </w:rPr>
      </w:pPr>
      <w:r>
        <w:rPr>
          <w:rFonts w:hint="eastAsia" w:ascii="仿宋" w:hAnsi="仿宋" w:eastAsia="仿宋"/>
          <w:sz w:val="24"/>
        </w:rPr>
        <w:t>本合同在履行中发生争议，由双方本着互惠互利的原则共同协商解决或由政府采购监管部门调解解决。如经协商后仍不能解决，双方同意向甲方所在地法院提出诉讼的方式解决。</w:t>
      </w:r>
    </w:p>
    <w:p>
      <w:pPr>
        <w:spacing w:line="360" w:lineRule="auto"/>
        <w:rPr>
          <w:rFonts w:ascii="仿宋" w:hAnsi="仿宋" w:eastAsia="仿宋"/>
          <w:sz w:val="24"/>
        </w:rPr>
      </w:pPr>
      <w:r>
        <w:rPr>
          <w:rFonts w:hint="eastAsia" w:ascii="仿宋" w:hAnsi="仿宋" w:eastAsia="仿宋"/>
          <w:sz w:val="24"/>
        </w:rPr>
        <w:t>十一、其他：</w:t>
      </w:r>
    </w:p>
    <w:p>
      <w:pPr>
        <w:spacing w:line="360" w:lineRule="auto"/>
        <w:rPr>
          <w:rFonts w:ascii="仿宋" w:hAnsi="仿宋" w:eastAsia="仿宋"/>
          <w:sz w:val="24"/>
        </w:rPr>
      </w:pPr>
      <w:r>
        <w:rPr>
          <w:rFonts w:hint="eastAsia" w:ascii="仿宋" w:hAnsi="仿宋" w:eastAsia="仿宋"/>
          <w:sz w:val="24"/>
        </w:rPr>
        <w:t>1、本合同一式  份，具有同等效力，甲方执  份，乙方执 份。合同自双方签字盖章之日起生效。</w:t>
      </w:r>
    </w:p>
    <w:p>
      <w:pPr>
        <w:spacing w:line="360" w:lineRule="auto"/>
        <w:rPr>
          <w:rFonts w:ascii="仿宋" w:hAnsi="仿宋" w:eastAsia="仿宋"/>
          <w:sz w:val="24"/>
        </w:rPr>
      </w:pPr>
      <w:r>
        <w:rPr>
          <w:rFonts w:hint="eastAsia" w:ascii="仿宋" w:hAnsi="仿宋" w:eastAsia="仿宋"/>
          <w:sz w:val="24"/>
        </w:rPr>
        <w:t>2、本合同未尽事宜，由双方协商处理。</w:t>
      </w:r>
    </w:p>
    <w:p>
      <w:pPr>
        <w:spacing w:line="360" w:lineRule="auto"/>
        <w:rPr>
          <w:rFonts w:ascii="仿宋" w:hAnsi="仿宋" w:eastAsia="仿宋"/>
          <w:sz w:val="24"/>
        </w:rPr>
      </w:pPr>
      <w:r>
        <w:rPr>
          <w:rFonts w:hint="eastAsia" w:ascii="仿宋" w:hAnsi="仿宋" w:eastAsia="仿宋"/>
          <w:sz w:val="24"/>
        </w:rPr>
        <w:t>——以下无正文——</w:t>
      </w:r>
    </w:p>
    <w:tbl>
      <w:tblPr>
        <w:tblStyle w:val="2"/>
        <w:tblW w:w="8604" w:type="dxa"/>
        <w:tblInd w:w="250" w:type="dxa"/>
        <w:tblLayout w:type="fixed"/>
        <w:tblCellMar>
          <w:top w:w="0" w:type="dxa"/>
          <w:left w:w="0" w:type="dxa"/>
          <w:bottom w:w="0" w:type="dxa"/>
          <w:right w:w="0" w:type="dxa"/>
        </w:tblCellMar>
      </w:tblPr>
      <w:tblGrid>
        <w:gridCol w:w="4434"/>
        <w:gridCol w:w="4170"/>
      </w:tblGrid>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rPr>
            </w:pPr>
            <w:r>
              <w:rPr>
                <w:rFonts w:hint="eastAsia" w:ascii="仿宋" w:hAnsi="仿宋" w:eastAsia="仿宋" w:cs="宋体"/>
                <w:kern w:val="0"/>
                <w:sz w:val="24"/>
              </w:rPr>
              <w:t>甲方：广州市妇女儿童医疗中心</w:t>
            </w:r>
          </w:p>
        </w:tc>
        <w:tc>
          <w:tcPr>
            <w:tcW w:w="4170"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 xml:space="preserve">乙方： </w:t>
            </w: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法人代表：</w:t>
            </w:r>
          </w:p>
        </w:tc>
        <w:tc>
          <w:tcPr>
            <w:tcW w:w="4170"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法人代表：</w:t>
            </w: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签约代表：</w:t>
            </w:r>
          </w:p>
        </w:tc>
        <w:tc>
          <w:tcPr>
            <w:tcW w:w="4170"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签约代表：</w:t>
            </w: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后勤管理部主任：</w:t>
            </w:r>
          </w:p>
        </w:tc>
        <w:tc>
          <w:tcPr>
            <w:tcW w:w="4170" w:type="dxa"/>
            <w:tcBorders>
              <w:top w:val="nil"/>
              <w:left w:val="nil"/>
              <w:bottom w:val="nil"/>
              <w:right w:val="nil"/>
            </w:tcBorders>
            <w:shd w:val="clear" w:color="auto" w:fill="auto"/>
          </w:tcPr>
          <w:p>
            <w:pPr>
              <w:autoSpaceDE w:val="0"/>
              <w:autoSpaceDN w:val="0"/>
              <w:jc w:val="left"/>
              <w:rPr>
                <w:rFonts w:ascii="仿宋" w:hAnsi="仿宋" w:eastAsia="仿宋" w:cs="宋体"/>
                <w:kern w:val="0"/>
                <w:sz w:val="24"/>
                <w:lang w:eastAsia="en-US"/>
              </w:rPr>
            </w:pP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采购中心负责人：</w:t>
            </w:r>
          </w:p>
        </w:tc>
        <w:tc>
          <w:tcPr>
            <w:tcW w:w="4170" w:type="dxa"/>
            <w:tcBorders>
              <w:top w:val="nil"/>
              <w:left w:val="nil"/>
              <w:bottom w:val="nil"/>
              <w:right w:val="nil"/>
            </w:tcBorders>
            <w:shd w:val="clear" w:color="auto" w:fill="auto"/>
          </w:tcPr>
          <w:p>
            <w:pPr>
              <w:autoSpaceDE w:val="0"/>
              <w:autoSpaceDN w:val="0"/>
              <w:jc w:val="left"/>
              <w:rPr>
                <w:rFonts w:ascii="仿宋" w:hAnsi="仿宋" w:eastAsia="仿宋" w:cs="宋体"/>
                <w:kern w:val="0"/>
                <w:sz w:val="24"/>
                <w:lang w:eastAsia="en-US"/>
              </w:rPr>
            </w:pP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采购中心经办人：</w:t>
            </w:r>
          </w:p>
        </w:tc>
        <w:tc>
          <w:tcPr>
            <w:tcW w:w="4170" w:type="dxa"/>
            <w:tcBorders>
              <w:top w:val="nil"/>
              <w:left w:val="nil"/>
              <w:bottom w:val="nil"/>
              <w:right w:val="nil"/>
            </w:tcBorders>
            <w:shd w:val="clear" w:color="auto" w:fill="auto"/>
          </w:tcPr>
          <w:p>
            <w:pPr>
              <w:autoSpaceDE w:val="0"/>
              <w:autoSpaceDN w:val="0"/>
              <w:jc w:val="left"/>
              <w:rPr>
                <w:rFonts w:ascii="仿宋" w:hAnsi="仿宋" w:eastAsia="仿宋" w:cs="宋体"/>
                <w:kern w:val="0"/>
                <w:sz w:val="24"/>
                <w:lang w:eastAsia="en-US"/>
              </w:rPr>
            </w:pP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rPr>
            </w:pPr>
            <w:r>
              <w:rPr>
                <w:rFonts w:hint="eastAsia" w:ascii="仿宋" w:hAnsi="仿宋" w:eastAsia="仿宋" w:cs="宋体"/>
                <w:kern w:val="0"/>
                <w:sz w:val="24"/>
              </w:rPr>
              <w:t>地址：广州市天河区珠江新城金穗路9号</w:t>
            </w:r>
          </w:p>
        </w:tc>
        <w:tc>
          <w:tcPr>
            <w:tcW w:w="4170" w:type="dxa"/>
            <w:tcBorders>
              <w:top w:val="nil"/>
              <w:left w:val="nil"/>
              <w:bottom w:val="nil"/>
              <w:right w:val="nil"/>
            </w:tcBorders>
            <w:shd w:val="clear" w:color="auto" w:fill="auto"/>
          </w:tcPr>
          <w:p>
            <w:pPr>
              <w:autoSpaceDE w:val="0"/>
              <w:autoSpaceDN w:val="0"/>
              <w:spacing w:before="51"/>
              <w:ind w:left="673" w:leftChars="35" w:hanging="600" w:hangingChars="250"/>
              <w:jc w:val="left"/>
              <w:rPr>
                <w:rFonts w:ascii="仿宋" w:hAnsi="仿宋" w:eastAsia="仿宋" w:cs="宋体"/>
                <w:kern w:val="0"/>
                <w:sz w:val="24"/>
                <w:lang w:eastAsia="en-US"/>
              </w:rPr>
            </w:pPr>
            <w:r>
              <w:rPr>
                <w:rFonts w:hint="eastAsia" w:ascii="仿宋" w:hAnsi="仿宋" w:eastAsia="仿宋" w:cs="宋体"/>
                <w:kern w:val="0"/>
                <w:sz w:val="24"/>
                <w:lang w:eastAsia="en-US"/>
              </w:rPr>
              <w:t xml:space="preserve">地址： </w:t>
            </w: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电话：020-38076626</w:t>
            </w:r>
          </w:p>
        </w:tc>
        <w:tc>
          <w:tcPr>
            <w:tcW w:w="4170"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电话：</w:t>
            </w: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统一社会信用代码：124401006832921365</w:t>
            </w:r>
          </w:p>
        </w:tc>
        <w:tc>
          <w:tcPr>
            <w:tcW w:w="4170"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统一社会信用代码：</w:t>
            </w: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1273" w:leftChars="35" w:hanging="1200" w:hangingChars="500"/>
              <w:jc w:val="left"/>
              <w:rPr>
                <w:rFonts w:ascii="仿宋" w:hAnsi="仿宋" w:eastAsia="仿宋" w:cs="宋体"/>
                <w:kern w:val="0"/>
                <w:sz w:val="24"/>
              </w:rPr>
            </w:pPr>
            <w:r>
              <w:rPr>
                <w:rFonts w:hint="eastAsia" w:ascii="仿宋" w:hAnsi="仿宋" w:eastAsia="仿宋" w:cs="宋体"/>
                <w:kern w:val="0"/>
                <w:sz w:val="24"/>
              </w:rPr>
              <w:t>开户银行：招商银行股份有限公司广州人民中路支行</w:t>
            </w:r>
          </w:p>
        </w:tc>
        <w:tc>
          <w:tcPr>
            <w:tcW w:w="4170"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 xml:space="preserve">开户银行： </w:t>
            </w: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账</w:t>
            </w:r>
            <w:r>
              <w:rPr>
                <w:rFonts w:hint="eastAsia" w:ascii="仿宋" w:hAnsi="仿宋" w:eastAsia="仿宋" w:cs="宋体"/>
                <w:kern w:val="0"/>
                <w:sz w:val="24"/>
                <w:lang w:eastAsia="en-US"/>
              </w:rPr>
              <w:tab/>
            </w:r>
            <w:r>
              <w:rPr>
                <w:rFonts w:hint="eastAsia" w:ascii="仿宋" w:hAnsi="仿宋" w:eastAsia="仿宋" w:cs="宋体"/>
                <w:kern w:val="0"/>
                <w:sz w:val="24"/>
                <w:lang w:eastAsia="en-US"/>
              </w:rPr>
              <w:t>号：120906481310503</w:t>
            </w:r>
          </w:p>
        </w:tc>
        <w:tc>
          <w:tcPr>
            <w:tcW w:w="4170"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账</w:t>
            </w:r>
            <w:r>
              <w:rPr>
                <w:rFonts w:hint="eastAsia" w:ascii="仿宋" w:hAnsi="仿宋" w:eastAsia="仿宋" w:cs="宋体"/>
                <w:kern w:val="0"/>
                <w:sz w:val="24"/>
                <w:lang w:eastAsia="en-US"/>
              </w:rPr>
              <w:tab/>
            </w:r>
            <w:r>
              <w:rPr>
                <w:rFonts w:hint="eastAsia" w:ascii="仿宋" w:hAnsi="仿宋" w:eastAsia="仿宋" w:cs="宋体"/>
                <w:kern w:val="0"/>
                <w:sz w:val="24"/>
                <w:lang w:eastAsia="en-US"/>
              </w:rPr>
              <w:t>号：</w:t>
            </w:r>
          </w:p>
        </w:tc>
      </w:tr>
      <w:tr>
        <w:tblPrEx>
          <w:tblCellMar>
            <w:top w:w="0" w:type="dxa"/>
            <w:left w:w="0" w:type="dxa"/>
            <w:bottom w:w="0" w:type="dxa"/>
            <w:right w:w="0" w:type="dxa"/>
          </w:tblCellMar>
        </w:tblPrEx>
        <w:trPr>
          <w:trHeight w:val="567" w:hRule="atLeast"/>
        </w:trPr>
        <w:tc>
          <w:tcPr>
            <w:tcW w:w="4434"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签约日期：</w:t>
            </w:r>
            <w:r>
              <w:rPr>
                <w:rFonts w:hint="eastAsia" w:ascii="仿宋" w:hAnsi="仿宋" w:eastAsia="仿宋" w:cs="宋体"/>
                <w:kern w:val="0"/>
                <w:sz w:val="24"/>
                <w:lang w:eastAsia="en-US"/>
              </w:rPr>
              <w:tab/>
            </w:r>
            <w:r>
              <w:rPr>
                <w:rFonts w:hint="eastAsia" w:ascii="仿宋" w:hAnsi="仿宋" w:eastAsia="仿宋" w:cs="宋体"/>
                <w:kern w:val="0"/>
                <w:sz w:val="24"/>
                <w:lang w:eastAsia="en-US"/>
              </w:rPr>
              <w:tab/>
            </w:r>
            <w:r>
              <w:rPr>
                <w:rFonts w:hint="eastAsia" w:ascii="仿宋" w:hAnsi="仿宋" w:eastAsia="仿宋" w:cs="宋体"/>
                <w:kern w:val="0"/>
                <w:sz w:val="24"/>
                <w:lang w:eastAsia="en-US"/>
              </w:rPr>
              <w:t>年</w:t>
            </w:r>
            <w:r>
              <w:rPr>
                <w:rFonts w:hint="eastAsia" w:ascii="仿宋" w:hAnsi="仿宋" w:eastAsia="仿宋" w:cs="宋体"/>
                <w:kern w:val="0"/>
                <w:sz w:val="24"/>
                <w:lang w:eastAsia="en-US"/>
              </w:rPr>
              <w:tab/>
            </w:r>
            <w:r>
              <w:rPr>
                <w:rFonts w:hint="eastAsia" w:ascii="仿宋" w:hAnsi="仿宋" w:eastAsia="仿宋" w:cs="宋体"/>
                <w:kern w:val="0"/>
                <w:sz w:val="24"/>
                <w:lang w:eastAsia="en-US"/>
              </w:rPr>
              <w:tab/>
            </w:r>
            <w:r>
              <w:rPr>
                <w:rFonts w:hint="eastAsia" w:ascii="仿宋" w:hAnsi="仿宋" w:eastAsia="仿宋" w:cs="宋体"/>
                <w:kern w:val="0"/>
                <w:sz w:val="24"/>
                <w:lang w:eastAsia="en-US"/>
              </w:rPr>
              <w:t>月</w:t>
            </w:r>
            <w:r>
              <w:rPr>
                <w:rFonts w:hint="eastAsia" w:ascii="仿宋" w:hAnsi="仿宋" w:eastAsia="仿宋" w:cs="宋体"/>
                <w:kern w:val="0"/>
                <w:sz w:val="24"/>
                <w:lang w:eastAsia="en-US"/>
              </w:rPr>
              <w:tab/>
            </w:r>
            <w:r>
              <w:rPr>
                <w:rFonts w:hint="eastAsia" w:ascii="仿宋" w:hAnsi="仿宋" w:eastAsia="仿宋" w:cs="宋体"/>
                <w:kern w:val="0"/>
                <w:sz w:val="24"/>
                <w:lang w:eastAsia="en-US"/>
              </w:rPr>
              <w:tab/>
            </w:r>
            <w:r>
              <w:rPr>
                <w:rFonts w:hint="eastAsia" w:ascii="仿宋" w:hAnsi="仿宋" w:eastAsia="仿宋" w:cs="宋体"/>
                <w:kern w:val="0"/>
                <w:sz w:val="24"/>
                <w:lang w:eastAsia="en-US"/>
              </w:rPr>
              <w:t>日</w:t>
            </w:r>
          </w:p>
        </w:tc>
        <w:tc>
          <w:tcPr>
            <w:tcW w:w="4170" w:type="dxa"/>
            <w:tcBorders>
              <w:top w:val="nil"/>
              <w:left w:val="nil"/>
              <w:bottom w:val="nil"/>
              <w:right w:val="nil"/>
            </w:tcBorders>
            <w:shd w:val="clear" w:color="auto" w:fill="auto"/>
          </w:tcPr>
          <w:p>
            <w:pPr>
              <w:autoSpaceDE w:val="0"/>
              <w:autoSpaceDN w:val="0"/>
              <w:spacing w:before="51"/>
              <w:ind w:left="73"/>
              <w:jc w:val="left"/>
              <w:rPr>
                <w:rFonts w:ascii="仿宋" w:hAnsi="仿宋" w:eastAsia="仿宋" w:cs="宋体"/>
                <w:kern w:val="0"/>
                <w:sz w:val="24"/>
                <w:lang w:eastAsia="en-US"/>
              </w:rPr>
            </w:pPr>
            <w:r>
              <w:rPr>
                <w:rFonts w:hint="eastAsia" w:ascii="仿宋" w:hAnsi="仿宋" w:eastAsia="仿宋" w:cs="宋体"/>
                <w:kern w:val="0"/>
                <w:sz w:val="24"/>
                <w:lang w:eastAsia="en-US"/>
              </w:rPr>
              <w:t>签约日期：</w:t>
            </w:r>
            <w:r>
              <w:rPr>
                <w:rFonts w:hint="eastAsia" w:ascii="仿宋" w:hAnsi="仿宋" w:eastAsia="仿宋" w:cs="宋体"/>
                <w:kern w:val="0"/>
                <w:sz w:val="24"/>
                <w:lang w:eastAsia="en-US"/>
              </w:rPr>
              <w:tab/>
            </w:r>
            <w:r>
              <w:rPr>
                <w:rFonts w:hint="eastAsia" w:ascii="仿宋" w:hAnsi="仿宋" w:eastAsia="仿宋" w:cs="宋体"/>
                <w:kern w:val="0"/>
                <w:sz w:val="24"/>
                <w:lang w:eastAsia="en-US"/>
              </w:rPr>
              <w:tab/>
            </w:r>
            <w:r>
              <w:rPr>
                <w:rFonts w:hint="eastAsia" w:ascii="仿宋" w:hAnsi="仿宋" w:eastAsia="仿宋" w:cs="宋体"/>
                <w:kern w:val="0"/>
                <w:sz w:val="24"/>
                <w:lang w:eastAsia="en-US"/>
              </w:rPr>
              <w:t>年</w:t>
            </w:r>
            <w:r>
              <w:rPr>
                <w:rFonts w:hint="eastAsia" w:ascii="仿宋" w:hAnsi="仿宋" w:eastAsia="仿宋" w:cs="宋体"/>
                <w:kern w:val="0"/>
                <w:sz w:val="24"/>
                <w:lang w:eastAsia="en-US"/>
              </w:rPr>
              <w:tab/>
            </w:r>
            <w:r>
              <w:rPr>
                <w:rFonts w:hint="eastAsia" w:ascii="仿宋" w:hAnsi="仿宋" w:eastAsia="仿宋" w:cs="宋体"/>
                <w:kern w:val="0"/>
                <w:sz w:val="24"/>
                <w:lang w:eastAsia="en-US"/>
              </w:rPr>
              <w:tab/>
            </w:r>
            <w:r>
              <w:rPr>
                <w:rFonts w:hint="eastAsia" w:ascii="仿宋" w:hAnsi="仿宋" w:eastAsia="仿宋" w:cs="宋体"/>
                <w:kern w:val="0"/>
                <w:sz w:val="24"/>
                <w:lang w:eastAsia="en-US"/>
              </w:rPr>
              <w:t>月</w:t>
            </w:r>
            <w:r>
              <w:rPr>
                <w:rFonts w:hint="eastAsia" w:ascii="仿宋" w:hAnsi="仿宋" w:eastAsia="仿宋" w:cs="宋体"/>
                <w:kern w:val="0"/>
                <w:sz w:val="24"/>
                <w:lang w:eastAsia="en-US"/>
              </w:rPr>
              <w:tab/>
            </w:r>
            <w:r>
              <w:rPr>
                <w:rFonts w:hint="eastAsia" w:ascii="仿宋" w:hAnsi="仿宋" w:eastAsia="仿宋" w:cs="宋体"/>
                <w:kern w:val="0"/>
                <w:sz w:val="24"/>
                <w:lang w:eastAsia="en-US"/>
              </w:rPr>
              <w:tab/>
            </w:r>
            <w:r>
              <w:rPr>
                <w:rFonts w:hint="eastAsia" w:ascii="仿宋" w:hAnsi="仿宋" w:eastAsia="仿宋" w:cs="宋体"/>
                <w:kern w:val="0"/>
                <w:sz w:val="24"/>
                <w:lang w:eastAsia="en-US"/>
              </w:rPr>
              <w:t>日</w:t>
            </w:r>
          </w:p>
        </w:tc>
      </w:tr>
    </w:tbl>
    <w:p>
      <w:pPr>
        <w:spacing w:line="360" w:lineRule="auto"/>
        <w:rPr>
          <w:rFonts w:ascii="仿宋" w:hAnsi="仿宋" w:eastAsia="仿宋"/>
          <w:sz w:val="24"/>
        </w:rPr>
      </w:pPr>
    </w:p>
    <w:p>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34C35"/>
    <w:multiLevelType w:val="singleLevel"/>
    <w:tmpl w:val="9FC34C35"/>
    <w:lvl w:ilvl="0" w:tentative="0">
      <w:start w:val="1"/>
      <w:numFmt w:val="decimal"/>
      <w:suff w:val="nothing"/>
      <w:lvlText w:val="%1、"/>
      <w:lvlJc w:val="left"/>
    </w:lvl>
  </w:abstractNum>
  <w:abstractNum w:abstractNumId="1">
    <w:nsid w:val="B3F0DCAE"/>
    <w:multiLevelType w:val="singleLevel"/>
    <w:tmpl w:val="B3F0DCAE"/>
    <w:lvl w:ilvl="0" w:tentative="0">
      <w:start w:val="1"/>
      <w:numFmt w:val="decimal"/>
      <w:lvlText w:val="(%1)"/>
      <w:lvlJc w:val="left"/>
      <w:pPr>
        <w:ind w:left="425" w:hanging="425"/>
      </w:pPr>
      <w:rPr>
        <w:rFonts w:hint="default"/>
      </w:rPr>
    </w:lvl>
  </w:abstractNum>
  <w:abstractNum w:abstractNumId="2">
    <w:nsid w:val="B59B0AE4"/>
    <w:multiLevelType w:val="singleLevel"/>
    <w:tmpl w:val="B59B0AE4"/>
    <w:lvl w:ilvl="0" w:tentative="0">
      <w:start w:val="1"/>
      <w:numFmt w:val="decimal"/>
      <w:lvlText w:val="(%1)"/>
      <w:lvlJc w:val="left"/>
      <w:pPr>
        <w:ind w:left="425" w:hanging="425"/>
      </w:pPr>
      <w:rPr>
        <w:rFonts w:hint="default"/>
      </w:rPr>
    </w:lvl>
  </w:abstractNum>
  <w:abstractNum w:abstractNumId="3">
    <w:nsid w:val="E4E5A64B"/>
    <w:multiLevelType w:val="singleLevel"/>
    <w:tmpl w:val="E4E5A64B"/>
    <w:lvl w:ilvl="0" w:tentative="0">
      <w:start w:val="10"/>
      <w:numFmt w:val="decimal"/>
      <w:suff w:val="space"/>
      <w:lvlText w:val="%1、"/>
      <w:lvlJc w:val="left"/>
    </w:lvl>
  </w:abstractNum>
  <w:abstractNum w:abstractNumId="4">
    <w:nsid w:val="178E46DA"/>
    <w:multiLevelType w:val="multilevel"/>
    <w:tmpl w:val="178E46DA"/>
    <w:lvl w:ilvl="0" w:tentative="0">
      <w:start w:val="1"/>
      <w:numFmt w:val="decimal"/>
      <w:lvlText w:val="%1、"/>
      <w:lvlJc w:val="left"/>
      <w:pPr>
        <w:ind w:left="420" w:hanging="420"/>
      </w:pPr>
      <w:rPr>
        <w:rFonts w:hint="eastAsia" w:ascii="宋体" w:hAnsi="宋体" w:eastAsia="宋体"/>
      </w:rPr>
    </w:lvl>
    <w:lvl w:ilvl="1" w:tentative="0">
      <w:start w:val="1"/>
      <w:numFmt w:val="decimal"/>
      <w:lvlText w:val="%2、"/>
      <w:lvlJc w:val="left"/>
      <w:pPr>
        <w:ind w:left="846" w:hanging="420"/>
      </w:pPr>
      <w:rPr>
        <w:rFonts w:hint="eastAsia" w:ascii="宋体" w:hAnsi="宋体" w:eastAsia="宋体"/>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5">
    <w:nsid w:val="6DB508F6"/>
    <w:multiLevelType w:val="multilevel"/>
    <w:tmpl w:val="6DB508F6"/>
    <w:lvl w:ilvl="0" w:tentative="0">
      <w:start w:val="1"/>
      <w:numFmt w:val="decimal"/>
      <w:lvlText w:val="%1、"/>
      <w:lvlJc w:val="left"/>
      <w:pPr>
        <w:tabs>
          <w:tab w:val="left" w:pos="360"/>
        </w:tabs>
        <w:ind w:left="360" w:hanging="360"/>
      </w:pPr>
      <w:rPr>
        <w:rFonts w:hint="eastAsia" w:ascii="宋体" w:hAnsi="宋体" w:eastAsia="宋体"/>
        <w:color w:val="000000"/>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13D9779C"/>
    <w:rsid w:val="13D9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annotation reference"/>
    <w:basedOn w:val="4"/>
    <w:semiHidden/>
    <w:unhideWhenUsed/>
    <w:qFormat/>
    <w:uiPriority w:val="99"/>
    <w:rPr>
      <w:sz w:val="21"/>
      <w:szCs w:val="21"/>
    </w:rPr>
  </w:style>
  <w:style w:type="paragraph" w:customStyle="1" w:styleId="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
    <w:name w:val="font11"/>
    <w:basedOn w:val="4"/>
    <w:qFormat/>
    <w:uiPriority w:val="0"/>
    <w:rPr>
      <w:rFonts w:hint="eastAsia" w:ascii="宋体" w:hAnsi="宋体" w:eastAsia="宋体" w:cs="宋体"/>
      <w:b/>
      <w:bCs/>
      <w:color w:val="000000"/>
      <w:sz w:val="24"/>
      <w:szCs w:val="24"/>
      <w:u w:val="none"/>
    </w:rPr>
  </w:style>
  <w:style w:type="character" w:customStyle="1" w:styleId="8">
    <w:name w:val="font71"/>
    <w:basedOn w:val="4"/>
    <w:qFormat/>
    <w:uiPriority w:val="0"/>
    <w:rPr>
      <w:rFonts w:hint="eastAsia" w:ascii="宋体" w:hAnsi="宋体" w:eastAsia="宋体" w:cs="宋体"/>
      <w:color w:val="000000"/>
      <w:sz w:val="12"/>
      <w:szCs w:val="12"/>
      <w:u w:val="none"/>
    </w:rPr>
  </w:style>
  <w:style w:type="character" w:customStyle="1" w:styleId="9">
    <w:name w:val="font31"/>
    <w:basedOn w:val="4"/>
    <w:qFormat/>
    <w:uiPriority w:val="0"/>
    <w:rPr>
      <w:rFonts w:hint="eastAsia" w:ascii="宋体" w:hAnsi="宋体" w:eastAsia="宋体" w:cs="宋体"/>
      <w:color w:val="000000"/>
      <w:sz w:val="22"/>
      <w:szCs w:val="22"/>
      <w:u w:val="none"/>
    </w:rPr>
  </w:style>
  <w:style w:type="character" w:customStyle="1" w:styleId="10">
    <w:name w:val="font51"/>
    <w:basedOn w:val="4"/>
    <w:qFormat/>
    <w:uiPriority w:val="0"/>
    <w:rPr>
      <w:rFonts w:hint="eastAsia" w:ascii="宋体" w:hAnsi="宋体" w:eastAsia="宋体" w:cs="宋体"/>
      <w:color w:val="000000"/>
      <w:sz w:val="20"/>
      <w:szCs w:val="20"/>
      <w:u w:val="none"/>
    </w:rPr>
  </w:style>
  <w:style w:type="character" w:customStyle="1" w:styleId="11">
    <w:name w:val="font21"/>
    <w:basedOn w:val="4"/>
    <w:qFormat/>
    <w:uiPriority w:val="0"/>
    <w:rPr>
      <w:rFonts w:hint="eastAsia" w:ascii="宋体" w:hAnsi="宋体" w:eastAsia="宋体" w:cs="宋体"/>
      <w:b/>
      <w:bCs/>
      <w:color w:val="000000"/>
      <w:sz w:val="28"/>
      <w:szCs w:val="28"/>
      <w:u w:val="none"/>
    </w:rPr>
  </w:style>
  <w:style w:type="paragraph" w:customStyle="1" w:styleId="12">
    <w:name w:val="封面2"/>
    <w:basedOn w:val="1"/>
    <w:qFormat/>
    <w:uiPriority w:val="0"/>
    <w:pPr>
      <w:spacing w:line="360" w:lineRule="auto"/>
      <w:jc w:val="center"/>
    </w:pPr>
    <w:rPr>
      <w:rFonts w:hint="eastAsia" w:ascii="黑体" w:hAnsi="宋体" w:eastAsia="黑体" w:cs="Times New Roman"/>
      <w:b/>
      <w:spacing w:val="-30"/>
      <w:sz w:val="9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2023-10-13T08:41:00Z</dcterms:created>
  <dc:creator>吴瑞敏</dc:creator>
  <cp:lastModifiedBy>吴瑞敏</cp:lastModifiedBy>
  <dcterms:modified xsi:type="dcterms:W3CDTF">2023-10-13T09:08:39Z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99A4499C6DF04F3EB8C26C4E734B9788_11</vt:lpwstr>
  </property>
</Properties>
</file>