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line="360" w:lineRule="auto"/>
        <w:jc w:val="center"/>
        <w:outlineLvl w:val="0"/>
        <w:rPr>
          <w:rFonts w:hint="eastAsia" w:ascii="宋体" w:hAnsi="宋体"/>
          <w:b/>
          <w:bCs/>
          <w:sz w:val="32"/>
          <w:szCs w:val="32"/>
        </w:rPr>
      </w:pPr>
      <w:bookmarkStart w:id="0" w:name="_Toc14203047"/>
      <w:r>
        <w:rPr>
          <w:rFonts w:hint="eastAsia" w:ascii="宋体" w:hAnsi="宋体"/>
          <w:b/>
          <w:bCs/>
          <w:sz w:val="32"/>
          <w:szCs w:val="32"/>
        </w:rPr>
        <w:t>广州市妇女儿童中心增城院区综合楼</w:t>
      </w:r>
    </w:p>
    <w:p>
      <w:pPr>
        <w:spacing w:before="156" w:beforeLines="50" w:after="156" w:afterLines="50" w:line="360" w:lineRule="auto"/>
        <w:jc w:val="center"/>
        <w:outlineLvl w:val="0"/>
        <w:rPr>
          <w:rFonts w:hint="eastAsia" w:eastAsia="宋体"/>
          <w:b/>
          <w:bCs/>
          <w:color w:val="auto"/>
          <w:sz w:val="32"/>
          <w:szCs w:val="32"/>
          <w:lang w:val="en-US" w:eastAsia="zh-CN"/>
        </w:rPr>
      </w:pPr>
      <w:r>
        <w:rPr>
          <w:rFonts w:hint="eastAsia" w:ascii="宋体" w:hAnsi="宋体"/>
          <w:b/>
          <w:bCs/>
          <w:color w:val="auto"/>
          <w:sz w:val="32"/>
          <w:szCs w:val="32"/>
          <w:lang w:eastAsia="zh-CN"/>
        </w:rPr>
        <w:t>人事、财务</w:t>
      </w:r>
      <w:r>
        <w:rPr>
          <w:rFonts w:hint="eastAsia" w:ascii="宋体" w:hAnsi="宋体"/>
          <w:b/>
          <w:bCs/>
          <w:color w:val="auto"/>
          <w:sz w:val="32"/>
          <w:szCs w:val="32"/>
        </w:rPr>
        <w:t>档案室</w:t>
      </w:r>
      <w:r>
        <w:rPr>
          <w:rFonts w:hint="eastAsia" w:ascii="宋体" w:hAnsi="宋体"/>
          <w:b/>
          <w:bCs/>
          <w:color w:val="auto"/>
          <w:sz w:val="32"/>
          <w:szCs w:val="32"/>
          <w:lang w:eastAsia="zh-CN"/>
        </w:rPr>
        <w:t>消防系统改造</w:t>
      </w:r>
      <w:r>
        <w:rPr>
          <w:rFonts w:hint="eastAsia" w:ascii="宋体" w:hAnsi="宋体"/>
          <w:b/>
          <w:bCs/>
          <w:color w:val="auto"/>
          <w:sz w:val="32"/>
          <w:szCs w:val="32"/>
        </w:rPr>
        <w:t>项目</w:t>
      </w:r>
      <w:r>
        <w:rPr>
          <w:rFonts w:hint="eastAsia"/>
          <w:b/>
          <w:bCs/>
          <w:color w:val="auto"/>
          <w:sz w:val="32"/>
          <w:szCs w:val="32"/>
        </w:rPr>
        <w:t>需求</w:t>
      </w:r>
      <w:bookmarkEnd w:id="0"/>
    </w:p>
    <w:p>
      <w:pPr>
        <w:pStyle w:val="2"/>
        <w:rPr>
          <w:color w:val="auto"/>
          <w:szCs w:val="24"/>
        </w:rPr>
      </w:pPr>
    </w:p>
    <w:p>
      <w:pPr>
        <w:spacing w:line="360" w:lineRule="auto"/>
        <w:ind w:firstLine="480" w:firstLineChars="200"/>
        <w:rPr>
          <w:rFonts w:ascii="宋体" w:hAnsi="宋体"/>
          <w:color w:val="auto"/>
          <w:sz w:val="24"/>
        </w:rPr>
      </w:pPr>
    </w:p>
    <w:p>
      <w:pPr>
        <w:pStyle w:val="9"/>
        <w:tabs>
          <w:tab w:val="left" w:pos="420"/>
          <w:tab w:val="left" w:pos="540"/>
        </w:tabs>
        <w:adjustRightInd w:val="0"/>
        <w:snapToGrid w:val="0"/>
        <w:spacing w:line="360" w:lineRule="auto"/>
        <w:rPr>
          <w:rFonts w:hint="eastAsia" w:hAnsi="宋体" w:eastAsia="宋体"/>
          <w:b/>
          <w:bCs/>
          <w:color w:val="auto"/>
          <w:sz w:val="24"/>
          <w:szCs w:val="24"/>
          <w:lang w:eastAsia="zh-CN"/>
        </w:rPr>
      </w:pPr>
      <w:r>
        <w:rPr>
          <w:rFonts w:hint="eastAsia" w:hAnsi="宋体"/>
          <w:b/>
          <w:bCs/>
          <w:color w:val="auto"/>
          <w:sz w:val="24"/>
          <w:szCs w:val="24"/>
          <w:lang w:eastAsia="zh-CN"/>
        </w:rPr>
        <w:t>一、项目概况：</w:t>
      </w:r>
    </w:p>
    <w:p>
      <w:pPr>
        <w:pStyle w:val="9"/>
        <w:tabs>
          <w:tab w:val="left" w:pos="420"/>
          <w:tab w:val="left" w:pos="540"/>
        </w:tabs>
        <w:adjustRightInd w:val="0"/>
        <w:snapToGrid w:val="0"/>
        <w:spacing w:line="360" w:lineRule="auto"/>
        <w:ind w:firstLine="482" w:firstLineChars="200"/>
        <w:rPr>
          <w:rFonts w:hAnsi="宋体"/>
          <w:color w:val="auto"/>
          <w:sz w:val="24"/>
          <w:szCs w:val="24"/>
        </w:rPr>
      </w:pPr>
      <w:r>
        <w:rPr>
          <w:rFonts w:hint="eastAsia" w:hAnsi="宋体"/>
          <w:b/>
          <w:bCs/>
          <w:color w:val="auto"/>
          <w:sz w:val="24"/>
          <w:szCs w:val="24"/>
          <w:lang w:val="en-US" w:eastAsia="zh-CN"/>
        </w:rPr>
        <w:t>1.</w:t>
      </w:r>
      <w:r>
        <w:rPr>
          <w:rFonts w:hint="eastAsia" w:hAnsi="宋体"/>
          <w:b/>
          <w:bCs/>
          <w:color w:val="auto"/>
          <w:sz w:val="24"/>
          <w:szCs w:val="24"/>
        </w:rPr>
        <w:t>项目名称：</w:t>
      </w:r>
      <w:r>
        <w:rPr>
          <w:rFonts w:hint="eastAsia" w:hAnsi="宋体"/>
          <w:color w:val="auto"/>
          <w:sz w:val="24"/>
          <w:szCs w:val="24"/>
        </w:rPr>
        <w:t>广州市妇女儿童中心增城院区综合楼</w:t>
      </w:r>
      <w:r>
        <w:rPr>
          <w:rFonts w:hint="eastAsia" w:hAnsi="宋体"/>
          <w:color w:val="auto"/>
          <w:sz w:val="24"/>
          <w:szCs w:val="24"/>
          <w:lang w:eastAsia="zh-CN"/>
        </w:rPr>
        <w:t>人事、财务</w:t>
      </w:r>
      <w:r>
        <w:rPr>
          <w:rFonts w:hint="eastAsia" w:hAnsi="宋体"/>
          <w:color w:val="auto"/>
          <w:sz w:val="24"/>
          <w:szCs w:val="24"/>
        </w:rPr>
        <w:t>档案室</w:t>
      </w:r>
      <w:r>
        <w:rPr>
          <w:rFonts w:hint="eastAsia" w:hAnsi="宋体"/>
          <w:color w:val="auto"/>
          <w:sz w:val="24"/>
          <w:szCs w:val="24"/>
          <w:lang w:eastAsia="zh-CN"/>
        </w:rPr>
        <w:t>消防系统改造</w:t>
      </w:r>
      <w:r>
        <w:rPr>
          <w:rFonts w:hint="eastAsia" w:hAnsi="宋体"/>
          <w:color w:val="auto"/>
          <w:sz w:val="24"/>
          <w:szCs w:val="24"/>
        </w:rPr>
        <w:t>项目</w:t>
      </w:r>
    </w:p>
    <w:p>
      <w:pPr>
        <w:spacing w:line="360" w:lineRule="auto"/>
        <w:ind w:firstLine="482" w:firstLineChars="200"/>
        <w:rPr>
          <w:rFonts w:hint="eastAsia" w:ascii="宋体" w:hAnsi="宋体" w:eastAsia="宋体"/>
          <w:sz w:val="24"/>
          <w:lang w:val="en-US" w:eastAsia="zh-CN"/>
        </w:rPr>
      </w:pPr>
      <w:r>
        <w:rPr>
          <w:rFonts w:hint="eastAsia" w:ascii="宋体" w:hAnsi="宋体"/>
          <w:b/>
          <w:bCs/>
          <w:sz w:val="24"/>
          <w:lang w:val="en-US" w:eastAsia="zh-CN"/>
        </w:rPr>
        <w:t>2.</w:t>
      </w:r>
      <w:r>
        <w:rPr>
          <w:rFonts w:hint="eastAsia" w:ascii="宋体" w:hAnsi="宋体"/>
          <w:b/>
          <w:bCs/>
          <w:sz w:val="24"/>
        </w:rPr>
        <w:t>项目地址：</w:t>
      </w:r>
      <w:r>
        <w:rPr>
          <w:rFonts w:hint="eastAsia" w:ascii="宋体" w:hAnsi="宋体"/>
          <w:sz w:val="24"/>
        </w:rPr>
        <w:t>广州市增城区增城大道293号</w:t>
      </w:r>
      <w:r>
        <w:rPr>
          <w:rFonts w:hint="eastAsia" w:ascii="宋体" w:hAnsi="宋体"/>
          <w:sz w:val="24"/>
          <w:lang w:eastAsia="zh-CN"/>
        </w:rPr>
        <w:t>综合楼内</w:t>
      </w:r>
    </w:p>
    <w:p>
      <w:pPr>
        <w:spacing w:line="360" w:lineRule="auto"/>
        <w:ind w:firstLine="482" w:firstLineChars="200"/>
        <w:rPr>
          <w:rFonts w:hAnsi="宋体"/>
          <w:b/>
          <w:sz w:val="24"/>
        </w:rPr>
      </w:pPr>
      <w:r>
        <w:rPr>
          <w:rFonts w:hint="eastAsia" w:ascii="宋体" w:hAnsi="宋体"/>
          <w:b/>
          <w:bCs/>
          <w:sz w:val="24"/>
          <w:lang w:val="en-US" w:eastAsia="zh-CN"/>
        </w:rPr>
        <w:t>3.</w:t>
      </w:r>
      <w:r>
        <w:rPr>
          <w:rFonts w:hint="eastAsia" w:ascii="宋体" w:hAnsi="宋体"/>
          <w:b/>
          <w:bCs/>
          <w:sz w:val="24"/>
        </w:rPr>
        <w:t>项目概况</w:t>
      </w:r>
    </w:p>
    <w:p>
      <w:pPr>
        <w:pStyle w:val="9"/>
        <w:tabs>
          <w:tab w:val="left" w:pos="420"/>
          <w:tab w:val="left" w:pos="540"/>
        </w:tabs>
        <w:adjustRightInd w:val="0"/>
        <w:snapToGrid w:val="0"/>
        <w:spacing w:line="360" w:lineRule="auto"/>
        <w:rPr>
          <w:rFonts w:hAnsi="宋体"/>
          <w:sz w:val="24"/>
          <w:szCs w:val="24"/>
        </w:rPr>
      </w:pPr>
      <w:r>
        <w:rPr>
          <w:rFonts w:hint="eastAsia" w:hAnsi="宋体"/>
          <w:sz w:val="24"/>
          <w:szCs w:val="24"/>
        </w:rPr>
        <w:drawing>
          <wp:anchor distT="0" distB="0" distL="0" distR="0" simplePos="0" relativeHeight="251660288" behindDoc="0" locked="0" layoutInCell="1" allowOverlap="1">
            <wp:simplePos x="0" y="0"/>
            <wp:positionH relativeFrom="column">
              <wp:posOffset>-675640</wp:posOffset>
            </wp:positionH>
            <wp:positionV relativeFrom="paragraph">
              <wp:posOffset>99695</wp:posOffset>
            </wp:positionV>
            <wp:extent cx="6120130" cy="3020060"/>
            <wp:effectExtent l="0" t="0" r="13970" b="889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20130" cy="3020060"/>
                    </a:xfrm>
                    <a:prstGeom prst="rect">
                      <a:avLst/>
                    </a:prstGeom>
                  </pic:spPr>
                </pic:pic>
              </a:graphicData>
            </a:graphic>
          </wp:anchor>
        </w:drawing>
      </w:r>
      <w:r>
        <w:rPr>
          <w:rFonts w:hint="eastAsia" w:hAnsi="宋体"/>
          <w:sz w:val="24"/>
          <w:szCs w:val="24"/>
        </w:rPr>
        <w:t xml:space="preserve">    </w:t>
      </w:r>
    </w:p>
    <w:p>
      <w:pPr>
        <w:pStyle w:val="9"/>
        <w:tabs>
          <w:tab w:val="left" w:pos="420"/>
          <w:tab w:val="left" w:pos="540"/>
        </w:tabs>
        <w:adjustRightInd w:val="0"/>
        <w:snapToGrid w:val="0"/>
        <w:spacing w:line="360" w:lineRule="auto"/>
        <w:ind w:firstLine="480" w:firstLineChars="200"/>
        <w:rPr>
          <w:rFonts w:hint="eastAsia" w:hAnsi="宋体" w:cs="宋体"/>
          <w:color w:val="auto"/>
          <w:sz w:val="24"/>
          <w:szCs w:val="24"/>
        </w:rPr>
      </w:pPr>
      <w:r>
        <w:rPr>
          <w:rFonts w:hint="eastAsia" w:hAnsi="宋体" w:cs="宋体"/>
          <w:sz w:val="24"/>
          <w:szCs w:val="24"/>
        </w:rPr>
        <w:t>广州市妇女儿童医疗中心增城院区是广州市妇女儿童医疗中心院区之一，位于增城区增城大道293号，项目总建筑面积约22万平方米，院区主要由住院楼（地上15层）、医技楼/门诊楼（地上5层）、综合楼（地上13层）和感染楼（地上5层）以及地下3层组成，院区于2022年9月正式投入使用，是目前广东</w:t>
      </w:r>
      <w:r>
        <w:rPr>
          <w:rFonts w:hint="eastAsia" w:hAnsi="宋体" w:cs="宋体"/>
          <w:color w:val="auto"/>
          <w:sz w:val="24"/>
          <w:szCs w:val="24"/>
        </w:rPr>
        <w:t>地区最大的妇幼保健院。</w:t>
      </w:r>
    </w:p>
    <w:p>
      <w:pPr>
        <w:pStyle w:val="9"/>
        <w:tabs>
          <w:tab w:val="left" w:pos="420"/>
          <w:tab w:val="left" w:pos="540"/>
        </w:tabs>
        <w:adjustRightInd w:val="0"/>
        <w:snapToGrid w:val="0"/>
        <w:spacing w:line="360" w:lineRule="auto"/>
        <w:ind w:left="0" w:leftChars="0" w:firstLine="0" w:firstLineChars="0"/>
        <w:jc w:val="left"/>
        <w:rPr>
          <w:rFonts w:hint="eastAsia" w:hAnsi="宋体"/>
          <w:sz w:val="24"/>
          <w:lang w:val="en-US" w:eastAsia="zh-CN"/>
        </w:rPr>
      </w:pPr>
      <w:r>
        <w:rPr>
          <w:rFonts w:hint="eastAsia" w:hAnsi="宋体" w:cs="宋体"/>
          <w:color w:val="auto"/>
          <w:sz w:val="24"/>
          <w:szCs w:val="24"/>
          <w:lang w:val="en-US" w:eastAsia="zh-CN"/>
        </w:rPr>
        <w:t xml:space="preserve">   </w:t>
      </w:r>
      <w:r>
        <w:rPr>
          <w:rFonts w:hint="eastAsia" w:hAnsi="宋体" w:cs="宋体"/>
          <w:color w:val="auto"/>
          <w:sz w:val="24"/>
          <w:szCs w:val="24"/>
          <w:lang w:eastAsia="zh-CN"/>
        </w:rPr>
        <w:t>本次消防系统改造的场所主要是</w:t>
      </w:r>
      <w:r>
        <w:rPr>
          <w:rFonts w:hint="eastAsia" w:ascii="宋体" w:hAnsi="宋体"/>
          <w:color w:val="auto"/>
          <w:sz w:val="24"/>
          <w:lang w:eastAsia="zh-CN"/>
        </w:rPr>
        <w:t>综合楼</w:t>
      </w:r>
      <w:r>
        <w:rPr>
          <w:rFonts w:hint="eastAsia" w:hAnsi="宋体"/>
          <w:color w:val="auto"/>
          <w:sz w:val="24"/>
          <w:lang w:eastAsia="zh-CN"/>
        </w:rPr>
        <w:t>二</w:t>
      </w:r>
      <w:r>
        <w:rPr>
          <w:rFonts w:hint="eastAsia" w:hAnsi="宋体"/>
          <w:color w:val="auto"/>
          <w:sz w:val="24"/>
          <w:lang w:val="en-US" w:eastAsia="zh-CN"/>
        </w:rPr>
        <w:t>层人事档案室、工作室、借阅室和三</w:t>
      </w:r>
      <w:r>
        <w:rPr>
          <w:rFonts w:hint="eastAsia" w:ascii="宋体" w:hAnsi="宋体"/>
          <w:color w:val="auto"/>
          <w:sz w:val="24"/>
          <w:lang w:val="en-US" w:eastAsia="zh-CN"/>
        </w:rPr>
        <w:t>层财务档案室、票据室</w:t>
      </w:r>
      <w:r>
        <w:rPr>
          <w:rFonts w:hint="eastAsia" w:hAnsi="宋体"/>
          <w:color w:val="auto"/>
          <w:sz w:val="24"/>
          <w:lang w:val="en-US" w:eastAsia="zh-CN"/>
        </w:rPr>
        <w:t>。主要</w:t>
      </w:r>
      <w:bookmarkStart w:id="20" w:name="_GoBack"/>
      <w:bookmarkEnd w:id="20"/>
      <w:r>
        <w:rPr>
          <w:rFonts w:hint="eastAsia" w:hAnsi="宋体"/>
          <w:color w:val="auto"/>
          <w:sz w:val="24"/>
          <w:lang w:val="en-US" w:eastAsia="zh-CN"/>
        </w:rPr>
        <w:t>改造工程是把以上场所的水喷淋系统拆除，然后安装七氟丙烷气体自动灭火系统进行保护，改造总面积共约372平方米。平面布置如下图所示。</w:t>
      </w:r>
      <w:r>
        <w:drawing>
          <wp:inline distT="0" distB="0" distL="114300" distR="114300">
            <wp:extent cx="5743575" cy="2660650"/>
            <wp:effectExtent l="0" t="0" r="1905"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5743575" cy="2660650"/>
                    </a:xfrm>
                    <a:prstGeom prst="rect">
                      <a:avLst/>
                    </a:prstGeom>
                    <a:noFill/>
                    <a:ln>
                      <a:noFill/>
                    </a:ln>
                  </pic:spPr>
                </pic:pic>
              </a:graphicData>
            </a:graphic>
          </wp:inline>
        </w:drawing>
      </w:r>
      <w:r>
        <w:rPr>
          <w:rFonts w:hint="eastAsia"/>
          <w:lang w:eastAsia="zh-CN"/>
        </w:rPr>
        <w:t>二层平面图（</w:t>
      </w:r>
      <w:r>
        <w:rPr>
          <w:rFonts w:hint="eastAsia" w:hAnsi="宋体"/>
          <w:sz w:val="24"/>
          <w:lang w:val="en-US" w:eastAsia="zh-CN"/>
        </w:rPr>
        <w:t>人事档案室、工作室及借阅室）</w:t>
      </w:r>
    </w:p>
    <w:p>
      <w:pPr>
        <w:pStyle w:val="9"/>
        <w:tabs>
          <w:tab w:val="left" w:pos="420"/>
          <w:tab w:val="left" w:pos="540"/>
        </w:tabs>
        <w:adjustRightInd w:val="0"/>
        <w:snapToGrid w:val="0"/>
        <w:spacing w:line="360" w:lineRule="auto"/>
        <w:ind w:left="0" w:leftChars="0" w:firstLine="0" w:firstLineChars="0"/>
        <w:jc w:val="center"/>
      </w:pPr>
      <w:r>
        <w:drawing>
          <wp:inline distT="0" distB="0" distL="114300" distR="114300">
            <wp:extent cx="6008370" cy="4312285"/>
            <wp:effectExtent l="0" t="0" r="11430" b="63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6008370" cy="4312285"/>
                    </a:xfrm>
                    <a:prstGeom prst="rect">
                      <a:avLst/>
                    </a:prstGeom>
                    <a:noFill/>
                    <a:ln>
                      <a:noFill/>
                    </a:ln>
                  </pic:spPr>
                </pic:pic>
              </a:graphicData>
            </a:graphic>
          </wp:inline>
        </w:drawing>
      </w:r>
    </w:p>
    <w:p>
      <w:pPr>
        <w:pStyle w:val="9"/>
        <w:tabs>
          <w:tab w:val="left" w:pos="420"/>
          <w:tab w:val="left" w:pos="540"/>
        </w:tabs>
        <w:adjustRightInd w:val="0"/>
        <w:snapToGrid w:val="0"/>
        <w:spacing w:line="360" w:lineRule="auto"/>
        <w:ind w:firstLine="420" w:firstLineChars="200"/>
        <w:jc w:val="center"/>
        <w:rPr>
          <w:rFonts w:hint="eastAsia" w:eastAsia="宋体"/>
          <w:lang w:val="en-US" w:eastAsia="zh-CN"/>
        </w:rPr>
      </w:pPr>
      <w:r>
        <w:rPr>
          <w:rFonts w:hint="eastAsia"/>
          <w:lang w:eastAsia="zh-CN"/>
        </w:rPr>
        <w:t>三层平面（</w:t>
      </w:r>
      <w:r>
        <w:rPr>
          <w:rFonts w:hint="eastAsia" w:ascii="宋体" w:hAnsi="宋体"/>
          <w:sz w:val="24"/>
          <w:lang w:val="en-US" w:eastAsia="zh-CN"/>
        </w:rPr>
        <w:t>财务档案室、票据室</w:t>
      </w:r>
      <w:r>
        <w:rPr>
          <w:rFonts w:hint="eastAsia" w:hAnsi="宋体"/>
          <w:sz w:val="24"/>
          <w:lang w:val="en-US" w:eastAsia="zh-CN"/>
        </w:rPr>
        <w:t>、气瓶间</w:t>
      </w:r>
      <w:r>
        <w:rPr>
          <w:rFonts w:hint="eastAsia"/>
          <w:lang w:eastAsia="zh-CN"/>
        </w:rPr>
        <w:t>）</w:t>
      </w:r>
    </w:p>
    <w:p>
      <w:pPr>
        <w:rPr>
          <w:rFonts w:hint="eastAsia" w:ascii="宋体" w:hAnsi="宋体" w:cs="宋体"/>
          <w:sz w:val="24"/>
        </w:rPr>
      </w:pPr>
    </w:p>
    <w:p/>
    <w:p>
      <w:pPr>
        <w:pStyle w:val="2"/>
        <w:spacing w:line="360" w:lineRule="auto"/>
        <w:rPr>
          <w:rFonts w:hint="eastAsia" w:ascii="宋体" w:hAnsi="宋体" w:cs="宋体"/>
          <w:b/>
          <w:bCs w:val="0"/>
          <w:szCs w:val="24"/>
          <w:highlight w:val="none"/>
          <w:lang w:eastAsia="zh-CN"/>
        </w:rPr>
      </w:pPr>
      <w:r>
        <w:rPr>
          <w:rFonts w:hint="eastAsia" w:ascii="宋体" w:hAnsi="宋体" w:cs="宋体"/>
          <w:b/>
          <w:bCs w:val="0"/>
          <w:szCs w:val="24"/>
          <w:highlight w:val="none"/>
          <w:lang w:eastAsia="zh-CN"/>
        </w:rPr>
        <w:t>二、方案的设计依据</w:t>
      </w:r>
    </w:p>
    <w:p>
      <w:pPr>
        <w:pStyle w:val="2"/>
        <w:spacing w:line="360" w:lineRule="auto"/>
        <w:rPr>
          <w:rFonts w:hint="eastAsia" w:ascii="宋体" w:hAnsi="宋体" w:cs="宋体"/>
          <w:b w:val="0"/>
          <w:bCs/>
          <w:szCs w:val="24"/>
          <w:highlight w:val="none"/>
          <w:lang w:val="zh-CN" w:eastAsia="zh-CN"/>
        </w:rPr>
      </w:pPr>
      <w:r>
        <w:rPr>
          <w:rFonts w:hint="eastAsia" w:ascii="宋体" w:hAnsi="宋体" w:cs="宋体"/>
          <w:b w:val="0"/>
          <w:bCs/>
          <w:szCs w:val="24"/>
          <w:highlight w:val="none"/>
          <w:lang w:eastAsia="zh-CN"/>
        </w:rPr>
        <w:t>*</w:t>
      </w:r>
      <w:r>
        <w:rPr>
          <w:rFonts w:hint="eastAsia" w:ascii="宋体" w:hAnsi="宋体" w:cs="宋体"/>
          <w:b w:val="0"/>
          <w:bCs/>
          <w:szCs w:val="24"/>
          <w:highlight w:val="none"/>
          <w:lang w:val="zh-CN" w:eastAsia="zh-CN"/>
        </w:rPr>
        <w:t xml:space="preserve">《气体灭火系统设计规范》(GB50370-2005) </w:t>
      </w:r>
    </w:p>
    <w:p>
      <w:pPr>
        <w:pStyle w:val="2"/>
        <w:spacing w:line="360" w:lineRule="auto"/>
        <w:rPr>
          <w:rFonts w:hint="eastAsia" w:ascii="宋体" w:hAnsi="宋体" w:cs="宋体"/>
          <w:b w:val="0"/>
          <w:bCs/>
          <w:szCs w:val="24"/>
          <w:highlight w:val="none"/>
          <w:lang w:val="zh-CN" w:eastAsia="zh-CN"/>
        </w:rPr>
      </w:pPr>
      <w:r>
        <w:rPr>
          <w:rFonts w:hint="eastAsia" w:ascii="宋体" w:hAnsi="宋体" w:cs="宋体"/>
          <w:b w:val="0"/>
          <w:bCs/>
          <w:szCs w:val="24"/>
          <w:highlight w:val="none"/>
          <w:lang w:eastAsia="zh-CN"/>
        </w:rPr>
        <w:t>*</w:t>
      </w:r>
      <w:r>
        <w:rPr>
          <w:rFonts w:hint="eastAsia" w:ascii="宋体" w:hAnsi="宋体" w:cs="宋体"/>
          <w:b w:val="0"/>
          <w:bCs/>
          <w:szCs w:val="24"/>
          <w:highlight w:val="none"/>
          <w:lang w:val="zh-CN" w:eastAsia="zh-CN"/>
        </w:rPr>
        <w:t>《气体灭火系统施工及验收规范》 （GB50263-2007）</w:t>
      </w:r>
    </w:p>
    <w:p>
      <w:pPr>
        <w:pStyle w:val="2"/>
        <w:spacing w:line="360" w:lineRule="auto"/>
        <w:rPr>
          <w:rFonts w:hint="eastAsia" w:ascii="宋体" w:hAnsi="宋体" w:cs="宋体"/>
          <w:b w:val="0"/>
          <w:bCs/>
          <w:szCs w:val="24"/>
          <w:highlight w:val="none"/>
          <w:lang w:val="zh-CN" w:eastAsia="zh-CN"/>
        </w:rPr>
      </w:pPr>
      <w:r>
        <w:rPr>
          <w:rFonts w:hint="eastAsia" w:ascii="宋体" w:hAnsi="宋体" w:cs="宋体"/>
          <w:b w:val="0"/>
          <w:bCs/>
          <w:szCs w:val="24"/>
          <w:highlight w:val="none"/>
          <w:lang w:eastAsia="zh-CN"/>
        </w:rPr>
        <w:t>*</w:t>
      </w:r>
      <w:r>
        <w:rPr>
          <w:rFonts w:hint="eastAsia" w:ascii="宋体" w:hAnsi="宋体" w:cs="宋体"/>
          <w:b w:val="0"/>
          <w:bCs/>
          <w:szCs w:val="24"/>
          <w:highlight w:val="none"/>
          <w:lang w:val="zh-CN" w:eastAsia="zh-CN"/>
        </w:rPr>
        <w:t>《火灾自动报警系统设计规范》 （GB50116-</w:t>
      </w:r>
      <w:r>
        <w:rPr>
          <w:rFonts w:hint="eastAsia" w:ascii="宋体" w:hAnsi="宋体" w:cs="宋体"/>
          <w:b w:val="0"/>
          <w:bCs/>
          <w:szCs w:val="24"/>
          <w:highlight w:val="none"/>
          <w:lang w:val="en-US" w:eastAsia="zh-CN"/>
        </w:rPr>
        <w:t>2013</w:t>
      </w:r>
      <w:r>
        <w:rPr>
          <w:rFonts w:hint="eastAsia" w:ascii="宋体" w:hAnsi="宋体" w:cs="宋体"/>
          <w:b w:val="0"/>
          <w:bCs/>
          <w:szCs w:val="24"/>
          <w:highlight w:val="none"/>
          <w:lang w:val="zh-CN" w:eastAsia="zh-CN"/>
        </w:rPr>
        <w:t>）</w:t>
      </w:r>
    </w:p>
    <w:p>
      <w:pPr>
        <w:pStyle w:val="2"/>
        <w:spacing w:line="360" w:lineRule="auto"/>
        <w:rPr>
          <w:rFonts w:hint="eastAsia" w:ascii="宋体" w:hAnsi="宋体" w:cs="宋体"/>
          <w:b w:val="0"/>
          <w:bCs/>
          <w:szCs w:val="24"/>
          <w:highlight w:val="none"/>
          <w:lang w:val="zh-CN" w:eastAsia="zh-CN"/>
        </w:rPr>
      </w:pPr>
      <w:r>
        <w:rPr>
          <w:rFonts w:hint="eastAsia" w:ascii="宋体" w:hAnsi="宋体" w:cs="宋体"/>
          <w:b w:val="0"/>
          <w:bCs/>
          <w:szCs w:val="24"/>
          <w:highlight w:val="none"/>
          <w:lang w:eastAsia="zh-CN"/>
        </w:rPr>
        <w:t>*</w:t>
      </w:r>
      <w:r>
        <w:rPr>
          <w:rFonts w:hint="eastAsia" w:ascii="宋体" w:hAnsi="宋体" w:cs="宋体"/>
          <w:b w:val="0"/>
          <w:bCs/>
          <w:szCs w:val="24"/>
          <w:highlight w:val="none"/>
          <w:lang w:val="zh-CN" w:eastAsia="zh-CN"/>
        </w:rPr>
        <w:t>《火灾自动报警系统施工及验收规范》 （GB50166-20</w:t>
      </w:r>
      <w:r>
        <w:rPr>
          <w:rFonts w:hint="eastAsia" w:ascii="宋体" w:hAnsi="宋体" w:cs="宋体"/>
          <w:b w:val="0"/>
          <w:bCs/>
          <w:szCs w:val="24"/>
          <w:highlight w:val="none"/>
          <w:lang w:val="en-US" w:eastAsia="zh-CN"/>
        </w:rPr>
        <w:t>19</w:t>
      </w:r>
      <w:r>
        <w:rPr>
          <w:rFonts w:hint="eastAsia" w:ascii="宋体" w:hAnsi="宋体" w:cs="宋体"/>
          <w:b w:val="0"/>
          <w:bCs/>
          <w:szCs w:val="24"/>
          <w:highlight w:val="none"/>
          <w:lang w:val="zh-CN" w:eastAsia="zh-CN"/>
        </w:rPr>
        <w:t>）</w:t>
      </w:r>
    </w:p>
    <w:p>
      <w:pPr>
        <w:pStyle w:val="2"/>
        <w:spacing w:line="360" w:lineRule="auto"/>
        <w:rPr>
          <w:rFonts w:hint="eastAsia" w:ascii="宋体" w:hAnsi="宋体" w:cs="宋体"/>
          <w:b w:val="0"/>
          <w:bCs/>
          <w:szCs w:val="24"/>
          <w:highlight w:val="none"/>
          <w:lang w:val="en-US" w:eastAsia="zh-CN"/>
        </w:rPr>
      </w:pPr>
      <w:r>
        <w:rPr>
          <w:rFonts w:hint="eastAsia" w:ascii="宋体" w:hAnsi="宋体" w:cs="宋体"/>
          <w:b w:val="0"/>
          <w:bCs/>
          <w:szCs w:val="24"/>
          <w:highlight w:val="none"/>
          <w:lang w:val="zh-CN" w:eastAsia="zh-CN"/>
        </w:rPr>
        <w:t>*《建筑设计防火规范》(GB50016-20</w:t>
      </w:r>
      <w:r>
        <w:rPr>
          <w:rFonts w:hint="eastAsia" w:ascii="宋体" w:hAnsi="宋体" w:cs="宋体"/>
          <w:b w:val="0"/>
          <w:bCs/>
          <w:szCs w:val="24"/>
          <w:highlight w:val="none"/>
          <w:lang w:val="en-US" w:eastAsia="zh-CN"/>
        </w:rPr>
        <w:t>14</w:t>
      </w:r>
      <w:r>
        <w:rPr>
          <w:rFonts w:hint="eastAsia" w:ascii="宋体" w:hAnsi="宋体" w:cs="宋体"/>
          <w:b w:val="0"/>
          <w:bCs/>
          <w:szCs w:val="24"/>
          <w:highlight w:val="none"/>
          <w:lang w:val="zh-CN" w:eastAsia="zh-CN"/>
        </w:rPr>
        <w:t>)（</w:t>
      </w:r>
      <w:r>
        <w:rPr>
          <w:rFonts w:hint="eastAsia" w:ascii="宋体" w:hAnsi="宋体" w:cs="宋体"/>
          <w:b w:val="0"/>
          <w:bCs/>
          <w:szCs w:val="24"/>
          <w:highlight w:val="none"/>
          <w:lang w:val="en-US" w:eastAsia="zh-CN"/>
        </w:rPr>
        <w:t>2018年版）</w:t>
      </w:r>
    </w:p>
    <w:p>
      <w:pPr>
        <w:pStyle w:val="2"/>
        <w:spacing w:line="360" w:lineRule="auto"/>
        <w:rPr>
          <w:rFonts w:hint="eastAsia" w:ascii="宋体" w:hAnsi="宋体" w:cs="宋体"/>
          <w:b w:val="0"/>
          <w:bCs/>
          <w:szCs w:val="24"/>
          <w:highlight w:val="none"/>
          <w:lang w:val="en-US" w:eastAsia="zh-CN"/>
        </w:rPr>
      </w:pPr>
      <w:r>
        <w:rPr>
          <w:rFonts w:hint="eastAsia" w:ascii="宋体" w:hAnsi="宋体" w:cs="宋体"/>
          <w:b w:val="0"/>
          <w:bCs/>
          <w:szCs w:val="24"/>
          <w:highlight w:val="none"/>
          <w:lang w:val="en-US" w:eastAsia="zh-CN"/>
        </w:rPr>
        <w:t>* 用户需求</w:t>
      </w:r>
    </w:p>
    <w:p>
      <w:pPr>
        <w:rPr>
          <w:rFonts w:hint="eastAsia"/>
          <w:lang w:eastAsia="zh-CN"/>
        </w:rPr>
      </w:pPr>
    </w:p>
    <w:p>
      <w:pPr>
        <w:pStyle w:val="2"/>
        <w:numPr>
          <w:ilvl w:val="0"/>
          <w:numId w:val="1"/>
        </w:numPr>
        <w:spacing w:line="360" w:lineRule="auto"/>
        <w:rPr>
          <w:rFonts w:hint="eastAsia" w:ascii="宋体" w:hAnsi="宋体" w:cs="宋体"/>
          <w:b/>
          <w:bCs w:val="0"/>
          <w:szCs w:val="24"/>
          <w:highlight w:val="none"/>
          <w:lang w:eastAsia="zh-CN"/>
        </w:rPr>
      </w:pPr>
      <w:r>
        <w:rPr>
          <w:rFonts w:hint="eastAsia" w:ascii="宋体" w:hAnsi="宋体" w:cs="宋体"/>
          <w:b/>
          <w:bCs w:val="0"/>
          <w:szCs w:val="24"/>
          <w:highlight w:val="none"/>
          <w:lang w:eastAsia="zh-CN"/>
        </w:rPr>
        <w:t>消防改造方案：</w:t>
      </w:r>
    </w:p>
    <w:p>
      <w:pPr>
        <w:numPr>
          <w:ilvl w:val="0"/>
          <w:numId w:val="0"/>
        </w:numPr>
        <w:rPr>
          <w:rFonts w:hint="eastAsia"/>
          <w:lang w:eastAsia="zh-CN"/>
        </w:rPr>
      </w:pPr>
    </w:p>
    <w:p>
      <w:pPr>
        <w:pStyle w:val="6"/>
        <w:widowControl w:val="0"/>
        <w:numPr>
          <w:ilvl w:val="0"/>
          <w:numId w:val="0"/>
        </w:numPr>
        <w:adjustRightInd w:val="0"/>
        <w:snapToGrid w:val="0"/>
        <w:spacing w:before="0" w:after="0" w:line="360" w:lineRule="auto"/>
        <w:ind w:firstLine="211" w:firstLineChars="100"/>
        <w:rPr>
          <w:rFonts w:ascii="Cambria" w:hAnsi="Cambria" w:eastAsia="宋体" w:cs="Cambria"/>
          <w:snapToGrid w:val="0"/>
          <w:sz w:val="21"/>
          <w:szCs w:val="21"/>
        </w:rPr>
      </w:pPr>
      <w:bookmarkStart w:id="1" w:name="_Toc27260"/>
      <w:r>
        <w:rPr>
          <w:rFonts w:hint="eastAsia" w:ascii="Cambria" w:hAnsi="Cambria" w:eastAsia="宋体" w:cs="Cambria"/>
          <w:snapToGrid w:val="0"/>
          <w:sz w:val="21"/>
          <w:szCs w:val="21"/>
          <w:lang w:val="en-US" w:eastAsia="zh-CN"/>
        </w:rPr>
        <w:t xml:space="preserve">3.1 </w:t>
      </w:r>
      <w:r>
        <w:rPr>
          <w:rFonts w:hint="eastAsia" w:ascii="Cambria" w:hAnsi="Cambria" w:eastAsia="宋体" w:cs="Cambria"/>
          <w:snapToGrid w:val="0"/>
          <w:sz w:val="21"/>
          <w:szCs w:val="21"/>
        </w:rPr>
        <w:t>总体要求</w:t>
      </w:r>
      <w:bookmarkEnd w:id="1"/>
    </w:p>
    <w:p>
      <w:pPr>
        <w:spacing w:line="360" w:lineRule="auto"/>
        <w:ind w:firstLine="480" w:firstLineChars="200"/>
        <w:rPr>
          <w:rFonts w:hint="eastAsia" w:hAnsi="宋体"/>
          <w:sz w:val="24"/>
          <w:lang w:val="en-US" w:eastAsia="zh-CN"/>
        </w:rPr>
      </w:pPr>
      <w:r>
        <w:rPr>
          <w:rFonts w:hint="eastAsia" w:ascii="宋体" w:hAnsi="宋体"/>
          <w:sz w:val="24"/>
          <w:lang w:val="en-US" w:eastAsia="zh-CN"/>
        </w:rPr>
        <w:t>根据图纸及现场</w:t>
      </w:r>
      <w:r>
        <w:rPr>
          <w:rFonts w:hint="eastAsia" w:hAnsi="宋体"/>
          <w:sz w:val="24"/>
          <w:lang w:val="en-US" w:eastAsia="zh-CN"/>
        </w:rPr>
        <w:t>情况，2层人事档案室、工作室及借阅室，3层财务档案室、票据室均为独立的房间，在3层设有专用的消防气瓶间，根据</w:t>
      </w:r>
      <w:r>
        <w:rPr>
          <w:rFonts w:hint="eastAsia" w:hAnsi="宋体"/>
          <w:sz w:val="24"/>
          <w:lang w:val="zh-CN" w:eastAsia="zh-CN"/>
        </w:rPr>
        <w:t>《气体灭火系统设计规范》(GB50370-2005)规范，</w:t>
      </w:r>
      <w:r>
        <w:rPr>
          <w:rFonts w:hint="eastAsia" w:hAnsi="宋体"/>
          <w:sz w:val="24"/>
          <w:lang w:val="en-US" w:eastAsia="zh-CN"/>
        </w:rPr>
        <w:t>要求本次将设计采用七氟丙烷气体灭火系统进行保护，采用全淹没式灭火，其中2层人事档案室、3层财务档案室、票据室设计一套组合分配式管网系统进行保护，灭火气瓶放置在3层现有气瓶间内；2层工作室及借阅室由于房间面积较小，且由于日常有人员办公，为减少影响，将采用柜式七氟丙烷灭火系统进行保护，2个系统的改造清单如下。</w:t>
      </w:r>
    </w:p>
    <w:p>
      <w:pPr>
        <w:pStyle w:val="13"/>
        <w:adjustRightInd w:val="0"/>
        <w:snapToGrid w:val="0"/>
        <w:spacing w:before="0" w:beforeAutospacing="0" w:after="0" w:afterAutospacing="0" w:line="360" w:lineRule="auto"/>
        <w:ind w:firstLine="562" w:firstLineChars="200"/>
        <w:rPr>
          <w:rFonts w:hint="eastAsia" w:cs="宋体"/>
          <w:b/>
          <w:bCs/>
          <w:sz w:val="28"/>
          <w:szCs w:val="28"/>
          <w:lang w:eastAsia="zh-CN"/>
        </w:rPr>
      </w:pPr>
      <w:r>
        <w:rPr>
          <w:rFonts w:hint="eastAsia" w:cs="宋体"/>
          <w:b/>
          <w:bCs/>
          <w:sz w:val="28"/>
          <w:szCs w:val="28"/>
          <w:lang w:eastAsia="zh-CN"/>
        </w:rPr>
        <w:t>工程量清单如下：</w:t>
      </w:r>
    </w:p>
    <w:tbl>
      <w:tblPr>
        <w:tblStyle w:val="15"/>
        <w:tblW w:w="9426" w:type="dxa"/>
        <w:tblInd w:w="-34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6"/>
        <w:gridCol w:w="3047"/>
        <w:gridCol w:w="3507"/>
        <w:gridCol w:w="621"/>
        <w:gridCol w:w="805"/>
        <w:gridCol w:w="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2" w:hRule="atLeast"/>
        </w:trPr>
        <w:tc>
          <w:tcPr>
            <w:tcW w:w="9426" w:type="dxa"/>
            <w:gridSpan w:val="6"/>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气体灭火系统清单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16"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304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350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621"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80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830" w:type="dxa"/>
            <w:vMerge w:val="restar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16"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04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50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2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80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830" w:type="dxa"/>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16"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04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50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2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80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830" w:type="dxa"/>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2层工作室及借阅室（柜式气体）</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气体灭火设备及管道</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32"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无管网气体灭火装置</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1.类型:无管网气体灭火装置</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2.型号、规格: 120L</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3.安装部位:按设计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4.调试要求:按设计</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5.工作内容：含七氟丙烷灭火药剂109kg/瓶组</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气体喷头</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1.名称:喷头</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2.型号、规格:QPT-32</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3.本体安装</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4.综合考虑完成该工艺的所有施工内容</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专用泄压口 300*200</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1.名称：专用泄压口</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2.型号规格：300*200</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保护区标牌</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1.名称：保护区标牌</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2.型号规格：400*400</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二氧化碳灭火器</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1.名称：二氧化碳灭火器</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2.型号规格：手提式，2kg</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灭火器放置箱</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1.名称：灭火器放置箱</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2.型号规格：4*2+2</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气体灭火系统装置调试</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1名称:气体灭火系统装置调试</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点</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报警系统部分</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感烟探测器</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1.名称:烟感探测器</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2.线制:总线制</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点型感温探测器</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1.名称:点型感温探测器</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2.线制:总线制</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紧急启停按钮</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1.名称:紧急启停按钮</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2.线制:多线制</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手/自动转换开关</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1.名称:手/自动转换开关</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2.线制:多线制</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声光报警器</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1.名称:声光报警器</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2.线制:总线制</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放气指示灯</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1.名称:放气指示灯</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2.线制:总线制</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输出模块</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1.名称:输出模块</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8"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输入模块</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1.名称:输入模块（要求与大楼现有报警系统连接，将气体控制器的3个信号接入，包括气体报警、气体放气、气体故障。）</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4"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消防电话分机</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1.名称:消防电话分机</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2.要求：总线制，要求与大楼现有消防电话系统连接，含设备安装、调试等。</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气体灭火控制器（联动型）</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1.名称:气体灭火控制器（联动型）2区</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2.线制:总线制，128点内</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4"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消防报警备用电源</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1.名称:消防报警备用电源</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2.容量:1组24AH/12V蓄电池,</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3.安装方式:落地式</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电气配管 MT20</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1.名称:镀锌电线管</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2.规格:DN20*1.5</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报警信号线 ZR-RVS-2*1.5</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1.名称:报警信号线</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2.规格:ZR-RVS-2*1.5</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350</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电源线 ZR-BV-2.5</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1.名称:电源线</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2.规格:电源线 ZR-BV-2.5</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消防电话线 ZR-RVVP-2*1.5</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1.名称:消防电话线 </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2.规格:ZR-RVVP-2*1.5</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金属软管 ￠16</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1.名称:金属软管</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2.规格:￠16</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自动报警系统调试</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点数:自动报警系统装置调试 64点以下</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其它</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原有水喷头拆除、封堵</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1.内容:原有水喷头拆除、封堵</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2.材质:铜 </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3.型号、规格:ZSTZ DN15mm</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方型铝扣板天花更换 600×600</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1.吊顶形式、吊杆规格、高度:3.6m</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木质防火门</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1.门类型:成品木质防火门M1021  </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2.门扇厚度:40mm  </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3.五金材料:防火门锁、闭门器等</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人事、财务档案、票据室（管网气体）</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气体灭火设备及管道</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32"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七氟丙烷储瓶 QMP150/4.2</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1.类型:七氟丙烷储瓶</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2.型号、规格: QMP150/4.2</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3.安装部位:按设计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4.调试要求:按设计</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5.工作内容：含七氟丙烷灭火药剂109kg/瓶组，共436kg</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4"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驱动气体瓶组 6L</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1.类型:驱动气体瓶组</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2.型号、规格:6L</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3.安装部位:按设计</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4.调试要求:按设计</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8"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选择阀 QXZ50/5.3</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1.名称:选择阀</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2.型号、规格:QXZ50/5.3</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3.本体安装</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4.综合考虑完成该工艺的所有施工内容</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8"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选择阀 QXZ65/5.3</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1.名称:选择阀</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2.型号、规格:QXZ65/5.3</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3.本体安装</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4.综合考虑完成该工艺的所有施工内容</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8"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液流单向阀</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1.名称:液流单向阀</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2.型号、规格:QYD40/5.3</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3.本体安装</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4.综合考虑完成该工艺的所有施工内容</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驱动气体控制管路单向阀</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1.名称:驱动气体控制管路单向阀</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2.型号、规格QQD8/6.6</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8"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集流管</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1名称:集流管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2.型号、HJG80/17.2</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3.本体安装</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4综合考虑完成该工艺的所有施工内容</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瓶组</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8"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金属连接管</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1名称:金属连接管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2.型号、QRG32/8</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3.本体安装</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4综合考虑完成该工艺的所有施工内容</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8"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控制气管</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1.1名称 控制气管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2.型号 QKG</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3.本体安装</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4.综合考虑完成该工艺的所有施工内容</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瓶组</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4"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灭火剂瓶组安装架</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1.名称:灭火剂瓶组安装架</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2.型号 </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3.本体安装</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4.其他完成基本工作</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瓶组</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8"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启动瓶安装架</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1.名称:启动瓶安装架</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2.型号 </w:t>
            </w:r>
          </w:p>
          <w:p>
            <w:pPr>
              <w:pStyle w:val="2"/>
              <w:rPr>
                <w:rFonts w:hint="eastAsia"/>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3.本体安装</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4.其他完成基本工作</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8"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安全泄放装置</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1.名称:安全泄放装置</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2.型号:QAX7.2</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3.本体安装</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 综合考虑完成该工艺的所有施工内容</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8"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低泄高密阀</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1.名称:低泄高密阀</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2.型号:QDG0.3/6.7</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3.本体安装</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 综合考虑完成该工艺的所有施工内容</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8"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信号反馈装置</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1.名称:信号反馈装置</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2.规格:QXF0.35/5.3</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3.本体安装</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4.综合考虑完成该工艺的所有施工内容</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8"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气体喷头</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1.名称:喷头</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2.型号、规格:QPT-32</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3.本体安装</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4.综合考虑完成该工艺的所有施工内容</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专用泄压口 400*400</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1.名称：专用泄压口</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2.型号规格：400*400</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保护区标牌</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1.名称：保护区标牌</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2.型号规格：400*400</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二氧化碳灭火器</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1.名称：二氧化碳灭火器</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2.型号规格：手提式，2kg</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灭火器放置箱</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1.名称：灭火器放置箱</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2.型号规格：4*2+2</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无缝钢管 DN40</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1.安装部位:室内</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2.输送介质:气体灭火</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3.材质:无缝钢管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4.规格:DN40</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5.连接方式:螺纹连接</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6.管道安装</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7.空气吹扫</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8.管压试验</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无缝钢管 DN50</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1.安装部位:室内</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2.输送介质:气体灭火</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3.材质:无缝钢管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4.规格:DN50</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5.连接方式:螺纹连接</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6.管道安装</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7.空气吹扫</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8.管压试验</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无缝钢管 DN65</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1.安装部位:室内</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2.输送介质:气体灭火</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3.材质:无缝钢管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4.规格:DN65</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5.连接方式:螺纹连接</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6.管道安装</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7.空气吹扫</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8.管压试验</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8"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无缝钢管管件  高压弯头 DN40</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1.名称:高压弯头</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2.输送介质:气体灭火</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3.材质:无缝钢管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4.规格:DN40</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5.连接方式:螺纹连接</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8"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无缝钢管管件 高压弯头 DN50</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1.名称:高压弯头</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2.输送介质:气体灭火</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3.材质:无缝钢管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4.规格:DN50</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5.连接方式:螺纹连接</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8"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无缝钢管管件 高压弯头 DN65</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1.名称:高压弯头</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2.输送介质:气体灭火</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3.材质:无缝钢管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4.规格:DN65</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5.连接方式:螺纹连接</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8"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无缝钢管管件 高压三通 DN50</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1.名称:高压三通</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2.输送介质:气体灭火</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3.材质:无缝钢管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4.规格:DN50</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5.连接方式:螺纹连接</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8"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无缝钢管管件 高压三通 DN65</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1.名称:高压三通</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2.输送介质:气体灭火</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3.材质:无缝钢管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4.规格:DN65</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5.连接方式:螺纹连接</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8"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无缝钢管管件 高压直通 DN50</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1.名称:高压直通</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2.输送介质:气体灭火</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3.材质:无缝钢管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4.规格:DN50</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5.连接方式:螺纹连接</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8"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无缝钢管管件 高压直通 DN65</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1.名称:高压直通</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2.输送介质:气体灭火</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3.材质:无缝钢管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4.规格:DN65</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5.连接方式:螺纹连接</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管道支架</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1.材质:型钢</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2.管架形式:综合考虑</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3.制作安装</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气体灭火系统装置调试</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1名称:气体灭火系统装置调试</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点</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报警系统部分</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感烟探测器</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1.名称:烟感探测器</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2.线制:总线制</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点型感温探测器</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1.名称:点型感温探测器</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2.线制:总线制</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紧急启停按钮</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1.名称:紧急启停按钮</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2.线制:多线制</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手/自动转换开关</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1.名称:手/自动转换开关</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2.线制:多线制</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声光报警器</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1.名称:声光报警器</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2.线制:总线制</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放气指示灯</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1.名称:放气指示灯</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2.线制:总线制</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输出模块</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1.名称:输出模块</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输入模块</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1.名称:输入模块（要求与大楼现有报警系统连接，将气体控制器的3个信号接入，包括气体报警、气体放气、气体故障。）</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4"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消防电话分机</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1.名称:消防电话分机</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2.要求：总线制，要求与大楼现有消防电话系统连接，含设备安装、调试等。</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气体灭火控制器（联动型）</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1.名称:气体灭火控制器（联动型）4区</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2.线制:总线制，128点内</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4"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消防报警备用电源</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1.名称:消防报警备用电源</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2.容量:1组24AH/12V蓄电池,</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3.安装方式:落地式</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灾后排风机控制箱</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1.名称:灾后排风机控制箱</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2.型号:0.25KW</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电气配管 MT20</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1.名称:镀锌电线管</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2.规格:DN20*1.5</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265</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报警信号线 ZR-RVS-2*1.5</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1.名称:报警信号线</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2.规格:ZR-RVS-2*1.5</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1100</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报警二总线 ZR-RVS-2*2.5</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1.名称:报警二总线</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2.规格:ZR-RVS-2*2.5</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电源线 ZR-BV-2.5</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1.名称:电源线</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2.规格:电源线 ZR-BV-2.5</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220</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消防电话线 ZR-RVVP-2*1.5</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1.名称:消防电话线 </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2.规格:ZR-RVVP-2*1.5</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金属软管 ￠16</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1.名称:金属软管</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2.规格:￠16</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自动报警系统调试</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点数:自动报警系统装置调试 64点以下</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灾后排气系统</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轴流排风机</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1.名称：轴流排风机</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2.参数：风量1500m3/h,N=0.25KW</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3.内容：含设备安装、调试等</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灾后排气风管</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1.名称：灾后排气风管</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2.规格：1.0mm，法兰连接</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风管防火阀</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1.名称：风管防火阀</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2.规格：300*200，碳钢</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管道支架</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1.材质:型钢</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2.管架形式:综合考虑</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3.制作安装</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145</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百叶风口</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1.名称：铝合金百叶风口 </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2.规格：300*200</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83</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防火控制装置调试</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其它</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84</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原有水喷头拆除、封堵</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1.内容:原有水喷头拆除、封堵</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2.材质:铜 </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3.型号、规格:ZSTZ DN15mm</w:t>
            </w: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w:t>
            </w:r>
          </w:p>
        </w:tc>
        <w:tc>
          <w:tcPr>
            <w:tcW w:w="30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方型铝扣板天花更换 600×600</w:t>
            </w:r>
          </w:p>
        </w:tc>
        <w:tc>
          <w:tcPr>
            <w:tcW w:w="3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8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83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bl>
    <w:p>
      <w:pPr>
        <w:pStyle w:val="8"/>
        <w:rPr>
          <w:rFonts w:hint="eastAsia"/>
          <w:lang w:eastAsia="zh-CN"/>
        </w:rPr>
      </w:pPr>
    </w:p>
    <w:p>
      <w:pPr>
        <w:pStyle w:val="4"/>
        <w:spacing w:before="0" w:after="0" w:line="360" w:lineRule="auto"/>
        <w:rPr>
          <w:rFonts w:ascii="宋体" w:hAnsi="宋体" w:eastAsia="宋体" w:cs="宋体"/>
          <w:sz w:val="21"/>
          <w:szCs w:val="21"/>
        </w:rPr>
      </w:pPr>
      <w:bookmarkStart w:id="2" w:name="_Toc292631931"/>
      <w:bookmarkStart w:id="3" w:name="_Toc533869012"/>
      <w:bookmarkStart w:id="4" w:name="_Toc294536804"/>
      <w:r>
        <w:rPr>
          <w:rFonts w:hint="eastAsia" w:ascii="宋体" w:hAnsi="宋体" w:cs="宋体"/>
          <w:sz w:val="21"/>
          <w:szCs w:val="21"/>
          <w:lang w:val="en-US" w:eastAsia="zh-CN"/>
        </w:rPr>
        <w:t>3</w:t>
      </w:r>
      <w:r>
        <w:rPr>
          <w:rFonts w:hint="eastAsia" w:ascii="宋体" w:hAnsi="宋体" w:eastAsia="宋体" w:cs="宋体"/>
          <w:sz w:val="21"/>
          <w:szCs w:val="21"/>
        </w:rPr>
        <w:t>.</w:t>
      </w:r>
      <w:r>
        <w:rPr>
          <w:rFonts w:hint="eastAsia" w:ascii="宋体" w:hAnsi="宋体" w:cs="宋体"/>
          <w:sz w:val="21"/>
          <w:szCs w:val="21"/>
          <w:lang w:val="en-US" w:eastAsia="zh-CN"/>
        </w:rPr>
        <w:t>2</w:t>
      </w:r>
      <w:r>
        <w:rPr>
          <w:rFonts w:hint="eastAsia" w:ascii="宋体" w:hAnsi="宋体" w:eastAsia="宋体" w:cs="宋体"/>
          <w:sz w:val="21"/>
          <w:szCs w:val="21"/>
        </w:rPr>
        <w:t>系统设计条件</w:t>
      </w:r>
      <w:bookmarkEnd w:id="2"/>
      <w:bookmarkEnd w:id="3"/>
      <w:bookmarkEnd w:id="4"/>
    </w:p>
    <w:p>
      <w:pPr>
        <w:numPr>
          <w:ilvl w:val="0"/>
          <w:numId w:val="2"/>
        </w:numPr>
        <w:spacing w:line="360" w:lineRule="auto"/>
        <w:rPr>
          <w:rFonts w:ascii="宋体" w:hAnsi="宋体" w:eastAsia="宋体" w:cs="宋体"/>
          <w:szCs w:val="21"/>
        </w:rPr>
      </w:pPr>
      <w:r>
        <w:rPr>
          <w:rFonts w:hint="eastAsia" w:ascii="宋体" w:hAnsi="宋体" w:eastAsia="宋体" w:cs="宋体"/>
          <w:szCs w:val="21"/>
        </w:rPr>
        <w:t>防护区海拔高度系数取1。</w:t>
      </w:r>
    </w:p>
    <w:p>
      <w:pPr>
        <w:numPr>
          <w:ilvl w:val="0"/>
          <w:numId w:val="2"/>
        </w:numPr>
        <w:spacing w:line="360" w:lineRule="auto"/>
        <w:rPr>
          <w:rFonts w:ascii="宋体" w:hAnsi="宋体" w:eastAsia="宋体" w:cs="宋体"/>
          <w:szCs w:val="21"/>
        </w:rPr>
      </w:pPr>
      <w:r>
        <w:rPr>
          <w:rFonts w:hint="eastAsia" w:ascii="宋体" w:hAnsi="宋体" w:eastAsia="宋体" w:cs="宋体"/>
          <w:szCs w:val="21"/>
        </w:rPr>
        <w:t>系统的设计温度为20℃。</w:t>
      </w:r>
    </w:p>
    <w:p>
      <w:pPr>
        <w:numPr>
          <w:ilvl w:val="0"/>
          <w:numId w:val="2"/>
        </w:numPr>
        <w:spacing w:line="360" w:lineRule="auto"/>
        <w:rPr>
          <w:rFonts w:ascii="宋体" w:hAnsi="宋体" w:eastAsia="宋体" w:cs="宋体"/>
          <w:szCs w:val="21"/>
        </w:rPr>
      </w:pPr>
      <w:r>
        <w:rPr>
          <w:rFonts w:hint="eastAsia" w:ascii="宋体" w:hAnsi="宋体" w:eastAsia="宋体" w:cs="宋体"/>
          <w:szCs w:val="21"/>
        </w:rPr>
        <w:t>灭火剂储存容器氮气增压压力采用二级</w:t>
      </w:r>
      <w:r>
        <w:rPr>
          <w:rFonts w:hint="eastAsia" w:ascii="宋体" w:hAnsi="宋体" w:cs="宋体"/>
          <w:szCs w:val="21"/>
          <w:lang w:eastAsia="zh-CN"/>
        </w:rPr>
        <w:t>，其中管网系统采用</w:t>
      </w:r>
      <w:r>
        <w:rPr>
          <w:rFonts w:hint="eastAsia" w:ascii="宋体" w:hAnsi="宋体" w:eastAsia="宋体" w:cs="宋体"/>
          <w:szCs w:val="21"/>
        </w:rPr>
        <w:t>4.2+0.1MPa,表压，20℃</w:t>
      </w:r>
      <w:r>
        <w:rPr>
          <w:rFonts w:hint="eastAsia" w:ascii="宋体" w:hAnsi="宋体" w:cs="宋体"/>
          <w:szCs w:val="21"/>
          <w:lang w:eastAsia="zh-CN"/>
        </w:rPr>
        <w:t>；柜式灭火装置采用</w:t>
      </w:r>
      <w:r>
        <w:rPr>
          <w:rFonts w:hint="eastAsia" w:ascii="宋体" w:hAnsi="宋体" w:cs="宋体"/>
          <w:szCs w:val="21"/>
          <w:lang w:val="en-US" w:eastAsia="zh-CN"/>
        </w:rPr>
        <w:t>2</w:t>
      </w:r>
      <w:r>
        <w:rPr>
          <w:rFonts w:hint="eastAsia" w:ascii="宋体" w:hAnsi="宋体" w:eastAsia="宋体" w:cs="宋体"/>
          <w:szCs w:val="21"/>
        </w:rPr>
        <w:t>.</w:t>
      </w:r>
      <w:r>
        <w:rPr>
          <w:rFonts w:hint="eastAsia" w:ascii="宋体" w:hAnsi="宋体" w:cs="宋体"/>
          <w:szCs w:val="21"/>
          <w:lang w:val="en-US" w:eastAsia="zh-CN"/>
        </w:rPr>
        <w:t>5</w:t>
      </w:r>
      <w:r>
        <w:rPr>
          <w:rFonts w:hint="eastAsia" w:ascii="宋体" w:hAnsi="宋体" w:eastAsia="宋体" w:cs="宋体"/>
          <w:szCs w:val="21"/>
        </w:rPr>
        <w:t>+0.1MPa,表压，20℃。</w:t>
      </w:r>
    </w:p>
    <w:p>
      <w:pPr>
        <w:numPr>
          <w:ilvl w:val="0"/>
          <w:numId w:val="2"/>
        </w:numPr>
        <w:spacing w:line="360" w:lineRule="auto"/>
        <w:rPr>
          <w:rFonts w:ascii="宋体" w:hAnsi="宋体" w:eastAsia="宋体" w:cs="宋体"/>
          <w:szCs w:val="21"/>
        </w:rPr>
      </w:pPr>
      <w:r>
        <w:rPr>
          <w:rFonts w:hint="eastAsia" w:ascii="宋体" w:hAnsi="宋体" w:eastAsia="宋体" w:cs="宋体"/>
          <w:szCs w:val="21"/>
        </w:rPr>
        <w:t>设计喷嘴出口压力不小于0.7MPa。</w:t>
      </w:r>
    </w:p>
    <w:p>
      <w:pPr>
        <w:pStyle w:val="4"/>
        <w:spacing w:before="0" w:after="0" w:line="360" w:lineRule="auto"/>
        <w:rPr>
          <w:rFonts w:hint="eastAsia" w:ascii="宋体" w:hAnsi="宋体" w:eastAsia="宋体" w:cs="宋体"/>
          <w:sz w:val="21"/>
          <w:szCs w:val="21"/>
          <w:lang w:eastAsia="zh-CN"/>
        </w:rPr>
      </w:pPr>
      <w:bookmarkStart w:id="5" w:name="_Toc292631932"/>
      <w:bookmarkStart w:id="6" w:name="_Toc533869013"/>
      <w:bookmarkStart w:id="7" w:name="_Toc294536805"/>
      <w:r>
        <w:rPr>
          <w:rFonts w:hint="eastAsia" w:ascii="宋体" w:hAnsi="宋体" w:cs="宋体"/>
          <w:sz w:val="21"/>
          <w:szCs w:val="21"/>
          <w:lang w:val="en-US" w:eastAsia="zh-CN"/>
        </w:rPr>
        <w:t>3</w:t>
      </w:r>
      <w:r>
        <w:rPr>
          <w:rFonts w:hint="eastAsia" w:ascii="宋体" w:hAnsi="宋体" w:eastAsia="宋体" w:cs="宋体"/>
          <w:sz w:val="21"/>
          <w:szCs w:val="21"/>
        </w:rPr>
        <w:t>.3</w:t>
      </w:r>
      <w:r>
        <w:rPr>
          <w:rFonts w:hint="eastAsia" w:ascii="宋体" w:hAnsi="宋体" w:cs="宋体"/>
          <w:sz w:val="21"/>
          <w:szCs w:val="21"/>
          <w:lang w:val="en-US" w:eastAsia="zh-CN"/>
        </w:rPr>
        <w:t xml:space="preserve"> </w:t>
      </w:r>
      <w:r>
        <w:rPr>
          <w:rFonts w:hint="eastAsia" w:ascii="宋体" w:hAnsi="宋体" w:eastAsia="宋体" w:cs="宋体"/>
          <w:sz w:val="21"/>
          <w:szCs w:val="21"/>
        </w:rPr>
        <w:t>气体灭火系统</w:t>
      </w:r>
      <w:bookmarkEnd w:id="5"/>
      <w:bookmarkEnd w:id="6"/>
      <w:bookmarkEnd w:id="7"/>
      <w:r>
        <w:rPr>
          <w:rFonts w:hint="eastAsia" w:ascii="宋体" w:hAnsi="宋体" w:cs="宋体"/>
          <w:sz w:val="21"/>
          <w:szCs w:val="21"/>
          <w:lang w:eastAsia="zh-CN"/>
        </w:rPr>
        <w:t>技术要求</w:t>
      </w:r>
    </w:p>
    <w:p>
      <w:pPr>
        <w:spacing w:line="360" w:lineRule="auto"/>
        <w:rPr>
          <w:rFonts w:ascii="宋体" w:hAnsi="宋体" w:eastAsia="宋体" w:cs="宋体"/>
          <w:szCs w:val="21"/>
        </w:rPr>
      </w:pPr>
      <w:r>
        <w:rPr>
          <w:rFonts w:hint="eastAsia" w:ascii="宋体" w:hAnsi="宋体" w:eastAsia="宋体" w:cs="宋体"/>
          <w:szCs w:val="21"/>
        </w:rPr>
        <w:t>1、本系统由火灾自动报警系统、气体灭火系统设备及灭火剂输送管道</w:t>
      </w:r>
      <w:r>
        <w:rPr>
          <w:rFonts w:hint="eastAsia" w:ascii="宋体" w:hAnsi="宋体" w:cs="宋体"/>
          <w:szCs w:val="21"/>
          <w:lang w:eastAsia="zh-CN"/>
        </w:rPr>
        <w:t>（仅管网系统有此项）</w:t>
      </w:r>
      <w:r>
        <w:rPr>
          <w:rFonts w:hint="eastAsia" w:ascii="宋体" w:hAnsi="宋体" w:eastAsia="宋体" w:cs="宋体"/>
          <w:szCs w:val="21"/>
        </w:rPr>
        <w:t>组成。</w:t>
      </w:r>
    </w:p>
    <w:p>
      <w:pPr>
        <w:numPr>
          <w:ilvl w:val="0"/>
          <w:numId w:val="3"/>
        </w:numPr>
        <w:spacing w:line="360" w:lineRule="auto"/>
        <w:rPr>
          <w:rFonts w:ascii="宋体" w:hAnsi="宋体" w:eastAsia="宋体" w:cs="宋体"/>
          <w:szCs w:val="21"/>
        </w:rPr>
      </w:pPr>
      <w:r>
        <w:rPr>
          <w:rFonts w:hint="eastAsia" w:ascii="宋体" w:hAnsi="宋体" w:eastAsia="宋体" w:cs="宋体"/>
          <w:szCs w:val="21"/>
        </w:rPr>
        <w:t>火灾自动报警系统包括火灾探测器</w:t>
      </w:r>
      <w:r>
        <w:rPr>
          <w:rFonts w:hint="eastAsia" w:ascii="宋体" w:hAnsi="宋体" w:cs="宋体"/>
          <w:szCs w:val="21"/>
          <w:lang w:eastAsia="zh-CN"/>
        </w:rPr>
        <w:t>（感烟、感温）</w:t>
      </w:r>
      <w:r>
        <w:rPr>
          <w:rFonts w:hint="eastAsia" w:ascii="宋体" w:hAnsi="宋体" w:eastAsia="宋体" w:cs="宋体"/>
          <w:szCs w:val="21"/>
        </w:rPr>
        <w:t>、气体灭火控制器、声光报警器、紧急启停按钮、手/自动转换开关</w:t>
      </w:r>
      <w:r>
        <w:rPr>
          <w:rFonts w:hint="eastAsia" w:ascii="宋体" w:hAnsi="宋体" w:cs="宋体"/>
          <w:szCs w:val="21"/>
          <w:lang w:eastAsia="zh-CN"/>
        </w:rPr>
        <w:t>、</w:t>
      </w:r>
      <w:r>
        <w:rPr>
          <w:rFonts w:hint="eastAsia" w:ascii="宋体" w:hAnsi="宋体" w:eastAsia="宋体" w:cs="宋体"/>
          <w:szCs w:val="21"/>
        </w:rPr>
        <w:t>放气指示灯</w:t>
      </w:r>
      <w:r>
        <w:rPr>
          <w:rFonts w:hint="eastAsia" w:ascii="宋体" w:hAnsi="宋体" w:cs="宋体"/>
          <w:szCs w:val="21"/>
          <w:lang w:eastAsia="zh-CN"/>
        </w:rPr>
        <w:t>、输入及输出模块、</w:t>
      </w:r>
      <w:r>
        <w:rPr>
          <w:rFonts w:hint="eastAsia" w:ascii="宋体" w:hAnsi="宋体" w:eastAsia="宋体" w:cs="宋体"/>
          <w:szCs w:val="21"/>
        </w:rPr>
        <w:t>系统布线</w:t>
      </w:r>
      <w:r>
        <w:rPr>
          <w:rFonts w:hint="eastAsia" w:ascii="宋体" w:hAnsi="宋体" w:cs="宋体"/>
          <w:szCs w:val="21"/>
          <w:lang w:eastAsia="zh-CN"/>
        </w:rPr>
        <w:t>等</w:t>
      </w:r>
      <w:r>
        <w:rPr>
          <w:rFonts w:hint="eastAsia" w:ascii="宋体" w:hAnsi="宋体" w:eastAsia="宋体" w:cs="宋体"/>
          <w:szCs w:val="21"/>
        </w:rPr>
        <w:t>。</w:t>
      </w:r>
    </w:p>
    <w:p>
      <w:pPr>
        <w:numPr>
          <w:ilvl w:val="0"/>
          <w:numId w:val="3"/>
        </w:numPr>
        <w:spacing w:line="360" w:lineRule="auto"/>
        <w:rPr>
          <w:rFonts w:ascii="宋体" w:hAnsi="宋体" w:eastAsia="宋体" w:cs="宋体"/>
          <w:szCs w:val="21"/>
        </w:rPr>
      </w:pPr>
      <w:r>
        <w:rPr>
          <w:rFonts w:hint="eastAsia" w:ascii="宋体" w:hAnsi="宋体" w:eastAsia="宋体" w:cs="宋体"/>
          <w:szCs w:val="21"/>
        </w:rPr>
        <w:t>气体灭火系统设备包括七氟丙烷储瓶、驱动</w:t>
      </w:r>
      <w:r>
        <w:rPr>
          <w:rFonts w:hint="eastAsia" w:ascii="宋体" w:hAnsi="宋体" w:cs="宋体"/>
          <w:szCs w:val="21"/>
          <w:lang w:eastAsia="zh-CN"/>
        </w:rPr>
        <w:t>气体瓶组</w:t>
      </w:r>
      <w:r>
        <w:rPr>
          <w:rFonts w:hint="eastAsia" w:ascii="宋体" w:hAnsi="宋体" w:eastAsia="宋体" w:cs="宋体"/>
          <w:szCs w:val="21"/>
        </w:rPr>
        <w:t>、</w:t>
      </w:r>
      <w:r>
        <w:rPr>
          <w:rFonts w:hint="eastAsia" w:ascii="宋体" w:hAnsi="宋体" w:cs="宋体"/>
          <w:szCs w:val="21"/>
          <w:lang w:eastAsia="zh-CN"/>
        </w:rPr>
        <w:t>金属</w:t>
      </w:r>
      <w:r>
        <w:rPr>
          <w:rFonts w:hint="eastAsia" w:ascii="宋体" w:hAnsi="宋体" w:eastAsia="宋体" w:cs="宋体"/>
          <w:szCs w:val="21"/>
        </w:rPr>
        <w:t>连接软管、集流管、安全泄放装置、单向阀、选择阀、控制气管、瓶架、信号反馈装置、喷头</w:t>
      </w:r>
      <w:r>
        <w:rPr>
          <w:rFonts w:hint="eastAsia" w:ascii="宋体" w:hAnsi="宋体" w:cs="宋体"/>
          <w:szCs w:val="21"/>
          <w:lang w:eastAsia="zh-CN"/>
        </w:rPr>
        <w:t>等</w:t>
      </w:r>
      <w:r>
        <w:rPr>
          <w:rFonts w:hint="eastAsia" w:ascii="宋体" w:hAnsi="宋体" w:eastAsia="宋体" w:cs="宋体"/>
          <w:szCs w:val="21"/>
        </w:rPr>
        <w:t>。</w:t>
      </w:r>
    </w:p>
    <w:p>
      <w:pPr>
        <w:numPr>
          <w:ilvl w:val="0"/>
          <w:numId w:val="3"/>
        </w:numPr>
        <w:spacing w:line="360" w:lineRule="auto"/>
        <w:rPr>
          <w:rFonts w:ascii="宋体" w:hAnsi="宋体" w:eastAsia="宋体" w:cs="宋体"/>
          <w:szCs w:val="21"/>
        </w:rPr>
      </w:pPr>
      <w:r>
        <w:rPr>
          <w:rFonts w:hint="eastAsia" w:ascii="宋体" w:hAnsi="宋体" w:eastAsia="宋体" w:cs="宋体"/>
          <w:szCs w:val="21"/>
        </w:rPr>
        <w:t>灭火剂输送管道包括高压内外镀锌无缝钢管及管道部件。</w:t>
      </w:r>
    </w:p>
    <w:p>
      <w:pPr>
        <w:spacing w:line="360" w:lineRule="auto"/>
        <w:rPr>
          <w:rFonts w:ascii="宋体" w:hAnsi="宋体" w:eastAsia="宋体" w:cs="宋体"/>
          <w:szCs w:val="21"/>
        </w:rPr>
      </w:pPr>
      <w:r>
        <w:rPr>
          <w:rFonts w:hint="eastAsia" w:ascii="宋体" w:hAnsi="宋体" w:eastAsia="宋体" w:cs="宋体"/>
          <w:szCs w:val="21"/>
        </w:rPr>
        <w:t>2、系统具有自动控制、手动控制和机械应急操作</w:t>
      </w:r>
      <w:r>
        <w:rPr>
          <w:rFonts w:hint="eastAsia" w:ascii="宋体" w:hAnsi="宋体" w:cs="宋体"/>
          <w:szCs w:val="21"/>
          <w:lang w:eastAsia="zh-CN"/>
        </w:rPr>
        <w:t>（仅管网系统有此项）</w:t>
      </w:r>
      <w:r>
        <w:rPr>
          <w:rFonts w:hint="eastAsia" w:ascii="宋体" w:hAnsi="宋体" w:eastAsia="宋体" w:cs="宋体"/>
          <w:szCs w:val="21"/>
        </w:rPr>
        <w:t>三种启动方式。</w:t>
      </w:r>
    </w:p>
    <w:p>
      <w:pPr>
        <w:numPr>
          <w:ilvl w:val="0"/>
          <w:numId w:val="4"/>
        </w:numPr>
        <w:spacing w:line="360" w:lineRule="auto"/>
        <w:ind w:left="902"/>
        <w:rPr>
          <w:rFonts w:ascii="宋体" w:hAnsi="宋体" w:eastAsia="宋体" w:cs="宋体"/>
          <w:szCs w:val="21"/>
        </w:rPr>
      </w:pPr>
      <w:r>
        <w:rPr>
          <w:rFonts w:hint="eastAsia" w:ascii="宋体" w:hAnsi="宋体" w:eastAsia="宋体" w:cs="宋体"/>
          <w:szCs w:val="21"/>
        </w:rPr>
        <w:t>自动启动：灭火控制器设置在自动状态时，若某防护区发生有烟雾(或温度异常上升)，该防护区的感烟(或感温)探测器动作并向灭火控制器送入一个火警信号，灭火控制器即进入单一火警状态，同时驱动消防警铃发出单一火灾警报信号，此时不会发出启动灭火系统的控制信号。随着该防护区火灾的蔓延，温度持续上升(或产生烟雾)，另一回路的感温(或感烟)探测器动作，向灭火控制器送入另一个火警信号，灭火控制器立即确认发生火灾并发出复合火灾警报信号及联动信号(关闭送排风装置和防火阀、防火卷帘等）。经过设定时间的延时，灭火控制器输出信号启动灭火系统，灭火剂经输送管道施放到该防护区实施灭火。灭火控制器接收到压力信号器的反馈信号后显亮防护区门外的放气指示灯，避免人员误入。</w:t>
      </w:r>
    </w:p>
    <w:p>
      <w:pPr>
        <w:numPr>
          <w:ilvl w:val="0"/>
          <w:numId w:val="4"/>
        </w:numPr>
        <w:spacing w:line="360" w:lineRule="auto"/>
        <w:ind w:left="902"/>
        <w:rPr>
          <w:rFonts w:ascii="宋体" w:hAnsi="宋体" w:eastAsia="宋体" w:cs="宋体"/>
          <w:szCs w:val="21"/>
        </w:rPr>
      </w:pPr>
      <w:r>
        <w:rPr>
          <w:rFonts w:hint="eastAsia" w:ascii="宋体" w:hAnsi="宋体" w:eastAsia="宋体" w:cs="宋体"/>
          <w:szCs w:val="21"/>
        </w:rPr>
        <w:t>气体灭火控制器可设置在手动状态下，在火灾发生时只发出火灾警报信号而不产生联动。</w:t>
      </w:r>
    </w:p>
    <w:p>
      <w:pPr>
        <w:numPr>
          <w:ilvl w:val="0"/>
          <w:numId w:val="4"/>
        </w:numPr>
        <w:spacing w:line="360" w:lineRule="auto"/>
        <w:ind w:left="902"/>
        <w:rPr>
          <w:rFonts w:ascii="宋体" w:hAnsi="宋体" w:eastAsia="宋体" w:cs="宋体"/>
          <w:szCs w:val="21"/>
        </w:rPr>
      </w:pPr>
      <w:r>
        <w:rPr>
          <w:rFonts w:hint="eastAsia" w:ascii="宋体" w:hAnsi="宋体" w:eastAsia="宋体" w:cs="宋体"/>
          <w:szCs w:val="21"/>
        </w:rPr>
        <w:t>手动操作：在值班人员确认火警后，按下灭火控制器面板上或现场的"紧急启动"按钮可马上启动灭火系统。在灭火剂喷放前按下灭火控制器面板上或现场的"紧急停止"按钮，灭火系统将不会启动喷放。</w:t>
      </w:r>
    </w:p>
    <w:p>
      <w:pPr>
        <w:numPr>
          <w:ilvl w:val="0"/>
          <w:numId w:val="4"/>
        </w:numPr>
        <w:spacing w:line="360" w:lineRule="auto"/>
        <w:ind w:left="902"/>
        <w:rPr>
          <w:rFonts w:ascii="宋体" w:hAnsi="宋体" w:eastAsia="宋体" w:cs="宋体"/>
          <w:szCs w:val="21"/>
        </w:rPr>
      </w:pPr>
      <w:r>
        <w:rPr>
          <w:rFonts w:hint="eastAsia" w:ascii="宋体" w:hAnsi="宋体" w:eastAsia="宋体" w:cs="宋体"/>
          <w:szCs w:val="21"/>
        </w:rPr>
        <w:t>当自动启动、手动启动均失效时，可进入气瓶间实施机械应急操作启动灭火系统</w:t>
      </w:r>
      <w:r>
        <w:rPr>
          <w:rFonts w:hint="eastAsia" w:ascii="宋体" w:hAnsi="宋体" w:cs="宋体"/>
          <w:szCs w:val="21"/>
          <w:lang w:eastAsia="zh-CN"/>
        </w:rPr>
        <w:t>（仅管网系统有此项）</w:t>
      </w:r>
      <w:r>
        <w:rPr>
          <w:rFonts w:hint="eastAsia" w:ascii="宋体" w:hAnsi="宋体" w:eastAsia="宋体" w:cs="宋体"/>
          <w:szCs w:val="21"/>
        </w:rPr>
        <w:t>。</w:t>
      </w:r>
    </w:p>
    <w:p>
      <w:pPr>
        <w:pStyle w:val="4"/>
        <w:spacing w:before="0" w:after="0" w:line="360" w:lineRule="auto"/>
        <w:rPr>
          <w:rFonts w:hint="eastAsia" w:ascii="宋体" w:hAnsi="宋体" w:eastAsia="宋体" w:cs="宋体"/>
          <w:sz w:val="21"/>
          <w:szCs w:val="21"/>
          <w:lang w:eastAsia="zh-CN"/>
        </w:rPr>
      </w:pPr>
      <w:bookmarkStart w:id="8" w:name="_Toc294536806"/>
      <w:bookmarkStart w:id="9" w:name="_Toc292631933"/>
      <w:bookmarkStart w:id="10" w:name="_Toc533869014"/>
      <w:r>
        <w:rPr>
          <w:rFonts w:hint="eastAsia" w:ascii="宋体" w:hAnsi="宋体" w:cs="宋体"/>
          <w:sz w:val="21"/>
          <w:szCs w:val="21"/>
          <w:lang w:val="en-US" w:eastAsia="zh-CN"/>
        </w:rPr>
        <w:t>3</w:t>
      </w:r>
      <w:r>
        <w:rPr>
          <w:rFonts w:hint="eastAsia" w:ascii="宋体" w:hAnsi="宋体" w:eastAsia="宋体" w:cs="宋体"/>
          <w:sz w:val="21"/>
          <w:szCs w:val="21"/>
        </w:rPr>
        <w:t>.</w:t>
      </w:r>
      <w:r>
        <w:rPr>
          <w:rFonts w:hint="eastAsia" w:ascii="宋体" w:hAnsi="宋体" w:cs="宋体"/>
          <w:sz w:val="21"/>
          <w:szCs w:val="21"/>
          <w:lang w:val="en-US" w:eastAsia="zh-CN"/>
        </w:rPr>
        <w:t>4火灾自动报警</w:t>
      </w:r>
      <w:r>
        <w:rPr>
          <w:rFonts w:hint="eastAsia" w:ascii="宋体" w:hAnsi="宋体" w:eastAsia="宋体" w:cs="宋体"/>
          <w:sz w:val="21"/>
          <w:szCs w:val="21"/>
        </w:rPr>
        <w:t>系统安装</w:t>
      </w:r>
      <w:bookmarkEnd w:id="8"/>
      <w:bookmarkEnd w:id="9"/>
      <w:bookmarkEnd w:id="10"/>
      <w:r>
        <w:rPr>
          <w:rFonts w:hint="eastAsia" w:ascii="宋体" w:hAnsi="宋体" w:cs="宋体"/>
          <w:sz w:val="21"/>
          <w:szCs w:val="21"/>
          <w:lang w:eastAsia="zh-CN"/>
        </w:rPr>
        <w:t>要求</w:t>
      </w:r>
    </w:p>
    <w:p>
      <w:pPr>
        <w:spacing w:line="360" w:lineRule="auto"/>
        <w:ind w:firstLine="420" w:firstLineChars="200"/>
        <w:rPr>
          <w:rFonts w:ascii="宋体" w:hAnsi="宋体" w:eastAsia="宋体" w:cs="宋体"/>
          <w:szCs w:val="21"/>
        </w:rPr>
      </w:pPr>
      <w:r>
        <w:rPr>
          <w:rFonts w:hint="eastAsia" w:ascii="宋体" w:hAnsi="宋体" w:eastAsia="宋体" w:cs="宋体"/>
          <w:szCs w:val="21"/>
        </w:rPr>
        <w:t>火灾自动报警系统的设备布置应按《火灾自动报警系统平面布置图》进行，不得随意更改。</w:t>
      </w:r>
    </w:p>
    <w:p>
      <w:pPr>
        <w:spacing w:line="360" w:lineRule="auto"/>
        <w:ind w:firstLine="420" w:firstLineChars="200"/>
        <w:rPr>
          <w:rFonts w:ascii="宋体" w:hAnsi="宋体" w:eastAsia="宋体" w:cs="宋体"/>
          <w:szCs w:val="21"/>
        </w:rPr>
      </w:pPr>
      <w:r>
        <w:rPr>
          <w:rFonts w:hint="eastAsia" w:ascii="宋体" w:hAnsi="宋体" w:eastAsia="宋体" w:cs="宋体"/>
          <w:szCs w:val="21"/>
        </w:rPr>
        <w:t>火灾自动报警系统的布线应符合国家标准《火灾自动报警系统施工及验收规范》的规定。绝缘导线采用ZR-BV1.5mm2，敷设方式MT(穿电线管敷设)/MR(金属线槽敷设)/CP(穿金属软管敷设)，敷设部位WS(沿墙面敷设)/CE(沿天棚或顶板面敷设)/SCE(吊顶内敷设)。</w:t>
      </w:r>
    </w:p>
    <w:p>
      <w:pPr>
        <w:spacing w:line="360" w:lineRule="auto"/>
        <w:ind w:firstLine="420" w:firstLineChars="200"/>
        <w:rPr>
          <w:rFonts w:ascii="宋体" w:hAnsi="宋体" w:eastAsia="宋体" w:cs="宋体"/>
          <w:szCs w:val="21"/>
        </w:rPr>
      </w:pPr>
      <w:r>
        <w:rPr>
          <w:rFonts w:hint="eastAsia" w:ascii="宋体" w:hAnsi="宋体" w:eastAsia="宋体" w:cs="宋体"/>
          <w:szCs w:val="21"/>
        </w:rPr>
        <w:t>火灾探测器的安装应符合国家标准《火灾自动报警系统施工及验收规范》的规定。</w:t>
      </w:r>
    </w:p>
    <w:p>
      <w:pPr>
        <w:spacing w:line="360" w:lineRule="auto"/>
        <w:ind w:firstLine="420" w:firstLineChars="200"/>
        <w:rPr>
          <w:rFonts w:ascii="宋体" w:hAnsi="宋体" w:eastAsia="宋体" w:cs="宋体"/>
          <w:szCs w:val="21"/>
        </w:rPr>
      </w:pPr>
      <w:r>
        <w:rPr>
          <w:rFonts w:hint="eastAsia" w:ascii="宋体" w:hAnsi="宋体" w:eastAsia="宋体" w:cs="宋体"/>
          <w:szCs w:val="21"/>
        </w:rPr>
        <w:t>紧急启停按钮</w:t>
      </w:r>
      <w:r>
        <w:rPr>
          <w:rFonts w:hint="eastAsia" w:ascii="宋体" w:hAnsi="宋体" w:cs="宋体"/>
          <w:szCs w:val="21"/>
          <w:lang w:eastAsia="zh-CN"/>
        </w:rPr>
        <w:t>及手/自动转换开关</w:t>
      </w:r>
      <w:r>
        <w:rPr>
          <w:rFonts w:hint="eastAsia" w:ascii="宋体" w:hAnsi="宋体" w:eastAsia="宋体" w:cs="宋体"/>
          <w:szCs w:val="21"/>
        </w:rPr>
        <w:t>应安装在防护区门外的墙上距地（楼）面高度1.3-1.5m处，安装应牢固并不得倾斜。</w:t>
      </w:r>
    </w:p>
    <w:p>
      <w:pPr>
        <w:spacing w:line="360" w:lineRule="auto"/>
        <w:ind w:firstLine="420" w:firstLineChars="200"/>
        <w:rPr>
          <w:rFonts w:ascii="宋体" w:hAnsi="宋体" w:eastAsia="宋体" w:cs="宋体"/>
          <w:szCs w:val="21"/>
        </w:rPr>
      </w:pPr>
      <w:r>
        <w:rPr>
          <w:rFonts w:hint="eastAsia" w:ascii="宋体" w:hAnsi="宋体" w:eastAsia="宋体" w:cs="宋体"/>
          <w:szCs w:val="21"/>
        </w:rPr>
        <w:t>放气指示灯应安装在防护区门外正上方的同一水平线上，间距一般是10cm。声光报警器一般装在防护区门内的正上方或防护区内显眼、无遮挡的位置，以便灭火剂喷放前提醒人员尽速撤离。</w:t>
      </w:r>
    </w:p>
    <w:p>
      <w:pPr>
        <w:spacing w:line="360" w:lineRule="auto"/>
        <w:ind w:firstLine="420" w:firstLineChars="200"/>
        <w:rPr>
          <w:rFonts w:ascii="宋体" w:hAnsi="宋体" w:eastAsia="宋体" w:cs="宋体"/>
          <w:szCs w:val="21"/>
        </w:rPr>
      </w:pPr>
      <w:r>
        <w:rPr>
          <w:rFonts w:hint="eastAsia" w:ascii="宋体" w:hAnsi="宋体" w:eastAsia="宋体" w:cs="宋体"/>
          <w:szCs w:val="21"/>
        </w:rPr>
        <w:t>气体灭火控制器安装时，其底边距地（楼）面高度宜为1.3-1.5m，安装应牢固并不得倾斜。安装在轻质墙上时，应采取加固措施。引入控制器的导线应符合《火灾自动报警系统施工及验收规范》的规定。</w:t>
      </w:r>
    </w:p>
    <w:p>
      <w:pPr>
        <w:spacing w:line="360" w:lineRule="auto"/>
        <w:ind w:firstLine="420" w:firstLineChars="200"/>
        <w:rPr>
          <w:rFonts w:ascii="宋体" w:hAnsi="宋体" w:eastAsia="宋体" w:cs="宋体"/>
          <w:szCs w:val="21"/>
        </w:rPr>
      </w:pPr>
      <w:r>
        <w:rPr>
          <w:rFonts w:hint="eastAsia" w:ascii="宋体" w:hAnsi="宋体" w:eastAsia="宋体" w:cs="宋体"/>
          <w:szCs w:val="21"/>
        </w:rPr>
        <w:t>系统接地应符合国家标准《火灾自动报警系统设计规范》和《火灾自动报警系统施工及验收规范》的要求。</w:t>
      </w:r>
    </w:p>
    <w:p>
      <w:pPr>
        <w:pStyle w:val="4"/>
        <w:spacing w:before="0" w:after="0" w:line="360" w:lineRule="auto"/>
        <w:rPr>
          <w:rFonts w:hint="eastAsia" w:ascii="宋体" w:hAnsi="宋体" w:eastAsia="宋体" w:cs="宋体"/>
          <w:sz w:val="21"/>
          <w:szCs w:val="21"/>
          <w:lang w:eastAsia="zh-CN"/>
        </w:rPr>
      </w:pPr>
      <w:bookmarkStart w:id="11" w:name="_Toc533869015"/>
      <w:bookmarkStart w:id="12" w:name="_Toc294536807"/>
      <w:bookmarkStart w:id="13" w:name="_Toc292631934"/>
      <w:r>
        <w:rPr>
          <w:rFonts w:hint="eastAsia" w:ascii="宋体" w:hAnsi="宋体" w:cs="宋体"/>
          <w:sz w:val="21"/>
          <w:szCs w:val="21"/>
          <w:lang w:val="en-US" w:eastAsia="zh-CN"/>
        </w:rPr>
        <w:t>3</w:t>
      </w:r>
      <w:r>
        <w:rPr>
          <w:rFonts w:hint="eastAsia" w:ascii="宋体" w:hAnsi="宋体" w:eastAsia="宋体" w:cs="宋体"/>
          <w:sz w:val="21"/>
          <w:szCs w:val="21"/>
        </w:rPr>
        <w:t>.</w:t>
      </w:r>
      <w:r>
        <w:rPr>
          <w:rFonts w:hint="eastAsia" w:ascii="宋体" w:hAnsi="宋体" w:cs="宋体"/>
          <w:sz w:val="21"/>
          <w:szCs w:val="21"/>
          <w:lang w:val="en-US" w:eastAsia="zh-CN"/>
        </w:rPr>
        <w:t xml:space="preserve">5 </w:t>
      </w:r>
      <w:r>
        <w:rPr>
          <w:rFonts w:hint="eastAsia" w:ascii="宋体" w:hAnsi="宋体" w:eastAsia="宋体" w:cs="宋体"/>
          <w:sz w:val="21"/>
          <w:szCs w:val="21"/>
        </w:rPr>
        <w:t>气体灭火系统设备</w:t>
      </w:r>
      <w:bookmarkEnd w:id="11"/>
      <w:bookmarkEnd w:id="12"/>
      <w:bookmarkEnd w:id="13"/>
      <w:r>
        <w:rPr>
          <w:rFonts w:hint="eastAsia" w:ascii="宋体" w:hAnsi="宋体" w:cs="宋体"/>
          <w:sz w:val="21"/>
          <w:szCs w:val="21"/>
          <w:lang w:eastAsia="zh-CN"/>
        </w:rPr>
        <w:t>安装要求</w:t>
      </w:r>
    </w:p>
    <w:p>
      <w:pPr>
        <w:spacing w:line="360" w:lineRule="auto"/>
        <w:ind w:firstLine="420" w:firstLineChars="200"/>
        <w:rPr>
          <w:rFonts w:ascii="宋体" w:hAnsi="宋体" w:eastAsia="宋体" w:cs="宋体"/>
          <w:szCs w:val="21"/>
        </w:rPr>
      </w:pPr>
      <w:r>
        <w:rPr>
          <w:rFonts w:hint="eastAsia" w:ascii="宋体" w:hAnsi="宋体" w:eastAsia="宋体" w:cs="宋体"/>
          <w:szCs w:val="21"/>
        </w:rPr>
        <w:t>气瓶间内系统设备的布置应符合国家标准《气体灭火系统设计规范》、《气体灭火系统施工及验收规范》的规定。全套产品设备需通过国家消防产品CCCF强制性认证。消防中标单位，应对气体消防施工图纸进行二次深化设计，在满足现行国家规范的前提下，保证消防系统的顺利验收。</w:t>
      </w:r>
    </w:p>
    <w:p>
      <w:pPr>
        <w:spacing w:line="360" w:lineRule="auto"/>
        <w:ind w:firstLine="420" w:firstLineChars="200"/>
        <w:rPr>
          <w:rFonts w:ascii="宋体" w:hAnsi="宋体" w:eastAsia="宋体" w:cs="宋体"/>
          <w:szCs w:val="21"/>
        </w:rPr>
      </w:pPr>
      <w:r>
        <w:rPr>
          <w:rFonts w:hint="eastAsia" w:ascii="宋体" w:hAnsi="宋体" w:eastAsia="宋体" w:cs="宋体"/>
          <w:szCs w:val="21"/>
        </w:rPr>
        <w:t>气体灭火系统的储存装置72小时内不能重新充装恢复工作的，应按系统原储存量的100%设置备用量。</w:t>
      </w:r>
    </w:p>
    <w:p>
      <w:pPr>
        <w:spacing w:line="360" w:lineRule="auto"/>
        <w:ind w:firstLine="420" w:firstLineChars="200"/>
        <w:rPr>
          <w:rFonts w:ascii="宋体" w:hAnsi="宋体" w:eastAsia="宋体" w:cs="宋体"/>
          <w:szCs w:val="21"/>
        </w:rPr>
      </w:pPr>
      <w:r>
        <w:rPr>
          <w:rFonts w:hint="eastAsia" w:ascii="宋体" w:hAnsi="宋体" w:eastAsia="宋体" w:cs="宋体"/>
          <w:szCs w:val="21"/>
        </w:rPr>
        <w:t>七氟丙烷灭火系统应采用氮气增压输送。氮气的含水量不应大于0.006%。</w:t>
      </w:r>
    </w:p>
    <w:p>
      <w:pPr>
        <w:spacing w:line="360" w:lineRule="auto"/>
        <w:ind w:firstLine="420" w:firstLineChars="200"/>
        <w:rPr>
          <w:rFonts w:ascii="宋体" w:hAnsi="宋体" w:eastAsia="宋体" w:cs="宋体"/>
          <w:szCs w:val="21"/>
        </w:rPr>
      </w:pPr>
      <w:r>
        <w:rPr>
          <w:rFonts w:hint="eastAsia" w:ascii="宋体" w:hAnsi="宋体" w:eastAsia="宋体" w:cs="宋体"/>
          <w:szCs w:val="21"/>
        </w:rPr>
        <w:t>灭火剂储存装置的安装应符合下列要求：储存容器上的压力指示器应朝向操作面，安装高度和方向应一致；储存容器正面应标明灭火剂名称标志和储存容器编号；储存容器的支、框架应固定牢靠，并做防腐处理。</w:t>
      </w:r>
    </w:p>
    <w:p>
      <w:pPr>
        <w:spacing w:line="360" w:lineRule="auto"/>
        <w:ind w:firstLine="420" w:firstLineChars="200"/>
        <w:rPr>
          <w:rFonts w:ascii="宋体" w:hAnsi="宋体" w:eastAsia="宋体" w:cs="宋体"/>
          <w:szCs w:val="21"/>
        </w:rPr>
      </w:pPr>
      <w:r>
        <w:rPr>
          <w:rFonts w:hint="eastAsia" w:ascii="宋体" w:hAnsi="宋体" w:eastAsia="宋体" w:cs="宋体"/>
          <w:szCs w:val="21"/>
        </w:rPr>
        <w:t>集流管安装应符合下列要求：安装前应检查内腔确保清洁；应在支、框架上固定牢靠并作防腐处理；泄压装置的泄压方向不应朝向操作面。</w:t>
      </w:r>
    </w:p>
    <w:p>
      <w:pPr>
        <w:spacing w:line="360" w:lineRule="auto"/>
        <w:ind w:firstLine="420" w:firstLineChars="200"/>
        <w:rPr>
          <w:rFonts w:ascii="宋体" w:hAnsi="宋体" w:eastAsia="宋体" w:cs="宋体"/>
          <w:szCs w:val="21"/>
        </w:rPr>
      </w:pPr>
      <w:r>
        <w:rPr>
          <w:rFonts w:hint="eastAsia" w:ascii="宋体" w:hAnsi="宋体" w:eastAsia="宋体" w:cs="宋体"/>
          <w:szCs w:val="21"/>
        </w:rPr>
        <w:t>选择阀的安装应符合下列要求：操作手柄应安装在操作面一侧，当安装高度超过1.7m时应采取便于手动操作的措施；采用螺纹连接的宜在与管道连接处采用活接头；应设置标明防护区名称或编号的永久性标志牌并应将标志牌固定在操作手柄附近。</w:t>
      </w:r>
    </w:p>
    <w:p>
      <w:pPr>
        <w:spacing w:line="360" w:lineRule="auto"/>
        <w:ind w:firstLine="420" w:firstLineChars="200"/>
        <w:rPr>
          <w:rFonts w:ascii="宋体" w:hAnsi="宋体" w:eastAsia="宋体" w:cs="宋体"/>
          <w:szCs w:val="21"/>
        </w:rPr>
      </w:pPr>
      <w:r>
        <w:rPr>
          <w:rFonts w:hint="eastAsia" w:ascii="宋体" w:hAnsi="宋体" w:eastAsia="宋体" w:cs="宋体"/>
          <w:szCs w:val="21"/>
        </w:rPr>
        <w:t>电磁驱动装置的安装应符合下列规定：电气连接线应沿储存装置的支、框架或墙面固定；驱动气瓶的支、框架应固定牢靠，并作防腐处理；驱动气瓶正面应永久性标明驱动介质的名称和对应防护区名称或编号；气动管道布置应符合要求，平行管道或交叉管道之间的间距应保持一致；气动平行管道宜采用管夹固定，管夹的间距不宜大于0.6m，转弯处应增设一个管夹。</w:t>
      </w:r>
    </w:p>
    <w:p>
      <w:pPr>
        <w:pStyle w:val="4"/>
        <w:spacing w:before="0" w:after="0" w:line="360" w:lineRule="auto"/>
        <w:rPr>
          <w:rFonts w:hint="eastAsia" w:ascii="宋体" w:hAnsi="宋体" w:eastAsia="宋体" w:cs="宋体"/>
          <w:sz w:val="21"/>
          <w:szCs w:val="21"/>
          <w:lang w:eastAsia="zh-CN"/>
        </w:rPr>
      </w:pPr>
      <w:bookmarkStart w:id="14" w:name="_Toc292631935"/>
      <w:bookmarkStart w:id="15" w:name="_Toc294536808"/>
      <w:bookmarkStart w:id="16" w:name="_Toc533869016"/>
      <w:r>
        <w:rPr>
          <w:rFonts w:hint="eastAsia" w:ascii="宋体" w:hAnsi="宋体" w:cs="宋体"/>
          <w:sz w:val="21"/>
          <w:szCs w:val="21"/>
          <w:lang w:val="en-US" w:eastAsia="zh-CN"/>
        </w:rPr>
        <w:t>3</w:t>
      </w:r>
      <w:r>
        <w:rPr>
          <w:rFonts w:hint="eastAsia" w:ascii="宋体" w:hAnsi="宋体" w:eastAsia="宋体" w:cs="宋体"/>
          <w:sz w:val="21"/>
          <w:szCs w:val="21"/>
        </w:rPr>
        <w:t>.</w:t>
      </w:r>
      <w:r>
        <w:rPr>
          <w:rFonts w:hint="eastAsia" w:ascii="宋体" w:hAnsi="宋体" w:cs="宋体"/>
          <w:sz w:val="21"/>
          <w:szCs w:val="21"/>
          <w:lang w:val="en-US" w:eastAsia="zh-CN"/>
        </w:rPr>
        <w:t xml:space="preserve">6 </w:t>
      </w:r>
      <w:r>
        <w:rPr>
          <w:rFonts w:hint="eastAsia" w:ascii="宋体" w:hAnsi="宋体" w:eastAsia="宋体" w:cs="宋体"/>
          <w:sz w:val="21"/>
          <w:szCs w:val="21"/>
        </w:rPr>
        <w:t>灭火剂输送管道</w:t>
      </w:r>
      <w:bookmarkEnd w:id="14"/>
      <w:bookmarkEnd w:id="15"/>
      <w:bookmarkEnd w:id="16"/>
      <w:r>
        <w:rPr>
          <w:rFonts w:hint="eastAsia" w:ascii="宋体" w:hAnsi="宋体" w:cs="宋体"/>
          <w:sz w:val="21"/>
          <w:szCs w:val="21"/>
          <w:lang w:eastAsia="zh-CN"/>
        </w:rPr>
        <w:t>要求</w:t>
      </w:r>
    </w:p>
    <w:p>
      <w:pPr>
        <w:spacing w:line="360" w:lineRule="auto"/>
        <w:ind w:firstLine="420" w:firstLineChars="200"/>
        <w:rPr>
          <w:rFonts w:ascii="宋体" w:hAnsi="宋体" w:eastAsia="宋体" w:cs="宋体"/>
          <w:szCs w:val="21"/>
        </w:rPr>
      </w:pPr>
      <w:r>
        <w:rPr>
          <w:rFonts w:hint="eastAsia" w:ascii="宋体" w:hAnsi="宋体" w:eastAsia="宋体" w:cs="宋体"/>
          <w:szCs w:val="21"/>
        </w:rPr>
        <w:t>灭火剂输送管道的施工应按设计施工图纸和相应的技术文件进行，不得随意更改。</w:t>
      </w:r>
    </w:p>
    <w:p>
      <w:pPr>
        <w:spacing w:line="360" w:lineRule="auto"/>
        <w:ind w:firstLine="420" w:firstLineChars="200"/>
        <w:rPr>
          <w:rFonts w:ascii="宋体" w:hAnsi="宋体" w:eastAsia="宋体" w:cs="宋体"/>
          <w:szCs w:val="21"/>
        </w:rPr>
      </w:pPr>
      <w:r>
        <w:rPr>
          <w:rFonts w:hint="eastAsia" w:ascii="宋体" w:hAnsi="宋体" w:eastAsia="宋体" w:cs="宋体"/>
          <w:szCs w:val="21"/>
        </w:rPr>
        <w:t>灭火剂输送管道应采用无缝钢管，其质量应符合国家标准GB/T8163《输送流体用无缝钢管》的规定并应内外镀锌，规格应符合下表规定。</w:t>
      </w:r>
    </w:p>
    <w:p>
      <w:pPr>
        <w:spacing w:line="360" w:lineRule="auto"/>
        <w:ind w:firstLine="420" w:firstLineChars="200"/>
        <w:rPr>
          <w:rFonts w:ascii="宋体" w:hAnsi="宋体" w:eastAsia="宋体" w:cs="宋体"/>
          <w:szCs w:val="21"/>
        </w:rPr>
      </w:pPr>
      <w:r>
        <w:rPr>
          <w:rFonts w:hint="eastAsia" w:ascii="宋体" w:hAnsi="宋体" w:eastAsia="宋体" w:cs="宋体"/>
          <w:szCs w:val="21"/>
        </w:rPr>
        <w:t>管网的管道内容积，不应大于流经该管网的七氟丙烷储存量体积的80%。</w:t>
      </w:r>
    </w:p>
    <w:p>
      <w:pPr>
        <w:spacing w:line="360" w:lineRule="auto"/>
        <w:ind w:firstLine="420" w:firstLineChars="200"/>
        <w:rPr>
          <w:rFonts w:ascii="宋体" w:hAnsi="宋体" w:eastAsia="宋体" w:cs="宋体"/>
          <w:szCs w:val="21"/>
        </w:rPr>
      </w:pPr>
      <w:r>
        <w:rPr>
          <w:rFonts w:hint="eastAsia" w:ascii="宋体" w:hAnsi="宋体" w:eastAsia="宋体" w:cs="宋体"/>
          <w:szCs w:val="21"/>
        </w:rPr>
        <w:t>管网上不应采用四通管件进行分流。喷头工作压力不小于0.7MPa。</w:t>
      </w:r>
    </w:p>
    <w:p>
      <w:pPr>
        <w:pStyle w:val="4"/>
        <w:spacing w:before="0" w:after="0" w:line="360" w:lineRule="auto"/>
        <w:rPr>
          <w:rFonts w:hint="eastAsia" w:ascii="宋体" w:hAnsi="宋体" w:eastAsia="宋体" w:cs="宋体"/>
          <w:sz w:val="21"/>
          <w:szCs w:val="21"/>
          <w:lang w:eastAsia="zh-CN"/>
        </w:rPr>
      </w:pPr>
      <w:bookmarkStart w:id="17" w:name="_Toc294536809"/>
      <w:bookmarkStart w:id="18" w:name="_Toc292631936"/>
      <w:bookmarkStart w:id="19" w:name="_Toc533869017"/>
      <w:r>
        <w:rPr>
          <w:rFonts w:hint="eastAsia" w:ascii="宋体" w:hAnsi="宋体" w:cs="宋体"/>
          <w:sz w:val="21"/>
          <w:szCs w:val="21"/>
          <w:lang w:val="en-US" w:eastAsia="zh-CN"/>
        </w:rPr>
        <w:t>3</w:t>
      </w:r>
      <w:r>
        <w:rPr>
          <w:rFonts w:hint="eastAsia" w:ascii="宋体" w:hAnsi="宋体" w:eastAsia="宋体" w:cs="宋体"/>
          <w:sz w:val="21"/>
          <w:szCs w:val="21"/>
        </w:rPr>
        <w:t>.</w:t>
      </w:r>
      <w:r>
        <w:rPr>
          <w:rFonts w:hint="eastAsia" w:ascii="宋体" w:hAnsi="宋体" w:cs="宋体"/>
          <w:sz w:val="21"/>
          <w:szCs w:val="21"/>
          <w:lang w:val="en-US" w:eastAsia="zh-CN"/>
        </w:rPr>
        <w:t xml:space="preserve">7 </w:t>
      </w:r>
      <w:bookmarkEnd w:id="17"/>
      <w:bookmarkEnd w:id="18"/>
      <w:bookmarkEnd w:id="19"/>
      <w:r>
        <w:rPr>
          <w:rFonts w:hint="eastAsia" w:ascii="宋体" w:hAnsi="宋体" w:cs="宋体"/>
          <w:sz w:val="21"/>
          <w:szCs w:val="21"/>
          <w:lang w:val="en-US" w:eastAsia="zh-CN"/>
        </w:rPr>
        <w:t>其它</w:t>
      </w:r>
      <w:r>
        <w:rPr>
          <w:rFonts w:hint="eastAsia" w:ascii="宋体" w:hAnsi="宋体" w:cs="宋体"/>
          <w:sz w:val="21"/>
          <w:szCs w:val="21"/>
          <w:lang w:eastAsia="zh-CN"/>
        </w:rPr>
        <w:t>技术要求</w:t>
      </w:r>
    </w:p>
    <w:p>
      <w:pPr>
        <w:spacing w:line="360" w:lineRule="auto"/>
        <w:rPr>
          <w:rFonts w:ascii="宋体" w:hAnsi="宋体" w:eastAsia="宋体" w:cs="宋体"/>
          <w:szCs w:val="21"/>
        </w:rPr>
      </w:pPr>
      <w:r>
        <w:rPr>
          <w:rFonts w:hint="eastAsia" w:ascii="宋体" w:hAnsi="宋体" w:eastAsia="宋体" w:cs="宋体"/>
          <w:szCs w:val="21"/>
        </w:rPr>
        <w:t>1、建筑</w:t>
      </w:r>
    </w:p>
    <w:p>
      <w:pPr>
        <w:numPr>
          <w:ilvl w:val="0"/>
          <w:numId w:val="5"/>
        </w:numPr>
        <w:spacing w:line="360" w:lineRule="auto"/>
        <w:ind w:left="902"/>
        <w:rPr>
          <w:rFonts w:ascii="宋体" w:hAnsi="宋体" w:eastAsia="宋体" w:cs="宋体"/>
          <w:szCs w:val="21"/>
        </w:rPr>
      </w:pPr>
      <w:r>
        <w:rPr>
          <w:rFonts w:hint="eastAsia" w:ascii="宋体" w:hAnsi="宋体" w:eastAsia="宋体" w:cs="宋体"/>
          <w:szCs w:val="21"/>
        </w:rPr>
        <w:t>各防护区应是封闭良好的防火空间，门应向外开启并能自动关闭，疏散出口的门必须能从防护区内打开。</w:t>
      </w:r>
      <w:r>
        <w:rPr>
          <w:rFonts w:hint="eastAsia" w:hAnsi="宋体"/>
          <w:sz w:val="24"/>
          <w:lang w:val="en-US" w:eastAsia="zh-CN"/>
        </w:rPr>
        <w:t>2层工作室及借阅室的现有门需要改造为甲级防火门，其它区域的门均符合规范要求。</w:t>
      </w:r>
      <w:r>
        <w:rPr>
          <w:rFonts w:hint="eastAsia" w:ascii="宋体" w:hAnsi="宋体" w:eastAsia="宋体" w:cs="宋体"/>
          <w:szCs w:val="21"/>
        </w:rPr>
        <w:t xml:space="preserve">    </w:t>
      </w:r>
    </w:p>
    <w:p>
      <w:pPr>
        <w:numPr>
          <w:ilvl w:val="0"/>
          <w:numId w:val="5"/>
        </w:numPr>
        <w:spacing w:line="360" w:lineRule="auto"/>
        <w:ind w:left="902"/>
        <w:rPr>
          <w:rFonts w:ascii="宋体" w:hAnsi="宋体" w:eastAsia="宋体" w:cs="宋体"/>
          <w:szCs w:val="21"/>
        </w:rPr>
      </w:pPr>
      <w:r>
        <w:rPr>
          <w:rFonts w:hint="eastAsia" w:ascii="宋体" w:hAnsi="宋体" w:eastAsia="宋体" w:cs="宋体"/>
          <w:szCs w:val="21"/>
        </w:rPr>
        <w:t>防护区的围护结构及门、窗的耐火极限不应低于0.5h，吊顶的耐火极限不应低于0.25h；围护结构及门、窗承受内压的允许压强不应低于1200Pa。</w:t>
      </w:r>
    </w:p>
    <w:p>
      <w:pPr>
        <w:numPr>
          <w:ilvl w:val="0"/>
          <w:numId w:val="5"/>
        </w:numPr>
        <w:spacing w:line="360" w:lineRule="auto"/>
        <w:ind w:left="902"/>
        <w:rPr>
          <w:rFonts w:ascii="宋体" w:hAnsi="宋体" w:eastAsia="宋体" w:cs="宋体"/>
          <w:szCs w:val="21"/>
        </w:rPr>
      </w:pPr>
      <w:r>
        <w:rPr>
          <w:rFonts w:hint="eastAsia" w:ascii="宋体" w:hAnsi="宋体" w:eastAsia="宋体" w:cs="宋体"/>
          <w:szCs w:val="21"/>
        </w:rPr>
        <w:t>气瓶间宜设在专用封闭房间内，荷载不应低于800Kg/m2，耐火等级不应低于二级，并应有直接通向室外或疏散走道的出口，门应为甲级防火门且向疏散方向开启。室温应为0℃-50℃，并应保持干燥和良好通风，避免阳光直接照射。</w:t>
      </w:r>
    </w:p>
    <w:p>
      <w:pPr>
        <w:numPr>
          <w:ilvl w:val="0"/>
          <w:numId w:val="5"/>
        </w:numPr>
        <w:spacing w:line="360" w:lineRule="auto"/>
        <w:ind w:left="902"/>
        <w:rPr>
          <w:rFonts w:ascii="宋体" w:hAnsi="宋体" w:eastAsia="宋体" w:cs="宋体"/>
          <w:szCs w:val="21"/>
        </w:rPr>
      </w:pPr>
      <w:r>
        <w:rPr>
          <w:rFonts w:hint="eastAsia" w:ascii="宋体" w:hAnsi="宋体" w:eastAsia="宋体" w:cs="宋体"/>
          <w:szCs w:val="21"/>
        </w:rPr>
        <w:t>防护区的泄压口宜设在外墙上，并应位于防护区净高的2/3以上。</w:t>
      </w:r>
    </w:p>
    <w:p>
      <w:pPr>
        <w:spacing w:line="360" w:lineRule="auto"/>
        <w:rPr>
          <w:rFonts w:ascii="宋体" w:hAnsi="宋体" w:eastAsia="宋体" w:cs="宋体"/>
          <w:szCs w:val="21"/>
        </w:rPr>
      </w:pPr>
      <w:r>
        <w:rPr>
          <w:rFonts w:hint="eastAsia" w:ascii="宋体" w:hAnsi="宋体" w:eastAsia="宋体" w:cs="宋体"/>
          <w:szCs w:val="21"/>
        </w:rPr>
        <w:t>2、电气</w:t>
      </w:r>
    </w:p>
    <w:p>
      <w:pPr>
        <w:numPr>
          <w:ilvl w:val="0"/>
          <w:numId w:val="6"/>
        </w:numPr>
        <w:spacing w:line="360" w:lineRule="auto"/>
        <w:ind w:left="902"/>
        <w:rPr>
          <w:rFonts w:ascii="宋体" w:hAnsi="宋体" w:eastAsia="宋体" w:cs="宋体"/>
          <w:szCs w:val="21"/>
        </w:rPr>
      </w:pPr>
      <w:r>
        <w:rPr>
          <w:rFonts w:hint="eastAsia" w:ascii="宋体" w:hAnsi="宋体" w:eastAsia="宋体" w:cs="宋体"/>
          <w:szCs w:val="21"/>
        </w:rPr>
        <w:t>低压配电系统应为火灾自动报警系统提供消防电源。</w:t>
      </w:r>
    </w:p>
    <w:p>
      <w:pPr>
        <w:numPr>
          <w:ilvl w:val="0"/>
          <w:numId w:val="6"/>
        </w:numPr>
        <w:spacing w:line="360" w:lineRule="auto"/>
        <w:ind w:left="902"/>
        <w:rPr>
          <w:rFonts w:ascii="宋体" w:hAnsi="宋体" w:eastAsia="宋体" w:cs="宋体"/>
          <w:szCs w:val="21"/>
        </w:rPr>
      </w:pPr>
      <w:r>
        <w:rPr>
          <w:rFonts w:hint="eastAsia" w:ascii="宋体" w:hAnsi="宋体" w:cs="宋体"/>
          <w:b/>
          <w:bCs/>
          <w:szCs w:val="21"/>
          <w:lang w:eastAsia="zh-CN"/>
        </w:rPr>
        <w:t>各个防护区、</w:t>
      </w:r>
      <w:r>
        <w:rPr>
          <w:rFonts w:hint="eastAsia" w:ascii="宋体" w:hAnsi="宋体" w:eastAsia="宋体" w:cs="宋体"/>
          <w:b/>
          <w:bCs/>
          <w:szCs w:val="21"/>
        </w:rPr>
        <w:t>气瓶间内应设消防电话</w:t>
      </w:r>
      <w:r>
        <w:rPr>
          <w:rFonts w:hint="eastAsia" w:ascii="宋体" w:hAnsi="宋体" w:cs="宋体"/>
          <w:b/>
          <w:bCs/>
          <w:szCs w:val="21"/>
          <w:lang w:eastAsia="zh-CN"/>
        </w:rPr>
        <w:t>与大楼现有消防电话总机连接</w:t>
      </w:r>
      <w:r>
        <w:rPr>
          <w:rFonts w:hint="eastAsia" w:ascii="宋体" w:hAnsi="宋体" w:eastAsia="宋体" w:cs="宋体"/>
          <w:szCs w:val="21"/>
        </w:rPr>
        <w:t>。防护区的疏散通道与出口应设应急照明与疏散指示标志。防护区的入口处应设防护区已采用七氟丙烷灭火系统防护的标志牌。</w:t>
      </w:r>
    </w:p>
    <w:p>
      <w:pPr>
        <w:numPr>
          <w:ilvl w:val="0"/>
          <w:numId w:val="6"/>
        </w:numPr>
        <w:spacing w:line="360" w:lineRule="auto"/>
        <w:ind w:left="902"/>
        <w:rPr>
          <w:rFonts w:ascii="宋体" w:hAnsi="宋体" w:eastAsia="宋体" w:cs="宋体"/>
          <w:szCs w:val="21"/>
        </w:rPr>
      </w:pPr>
      <w:r>
        <w:rPr>
          <w:rFonts w:hint="eastAsia" w:ascii="宋体" w:hAnsi="宋体" w:eastAsia="宋体" w:cs="宋体"/>
          <w:szCs w:val="21"/>
        </w:rPr>
        <w:t>设在地下、半地下或无可开启窗扇的气瓶间，以及无窗或固定窗扇的防护区应设机械排风装置，排风口宜设置在下部并应直通室外。</w:t>
      </w:r>
    </w:p>
    <w:p>
      <w:pPr>
        <w:numPr>
          <w:ilvl w:val="0"/>
          <w:numId w:val="6"/>
        </w:numPr>
        <w:spacing w:line="360" w:lineRule="auto"/>
        <w:ind w:left="902"/>
        <w:rPr>
          <w:rFonts w:ascii="宋体" w:hAnsi="宋体" w:eastAsia="宋体" w:cs="宋体"/>
          <w:szCs w:val="21"/>
        </w:rPr>
      </w:pPr>
      <w:r>
        <w:rPr>
          <w:rFonts w:hint="eastAsia" w:ascii="宋体" w:hAnsi="宋体" w:eastAsia="宋体" w:cs="宋体"/>
          <w:b/>
          <w:bCs/>
          <w:szCs w:val="21"/>
        </w:rPr>
        <w:t>各防护区的火警信号和灭火剂喷放信号及系统故障信号应发送到消防控制中心的联动控制柜，并使消防联动系统能在喷放灭火剂之前关闭该防护区内的空调、通风机及通风管道中的防火阀等设备。</w:t>
      </w:r>
    </w:p>
    <w:p>
      <w:pPr>
        <w:spacing w:line="360" w:lineRule="auto"/>
        <w:rPr>
          <w:rFonts w:ascii="宋体" w:hAnsi="宋体" w:eastAsia="宋体" w:cs="宋体"/>
          <w:szCs w:val="21"/>
        </w:rPr>
      </w:pPr>
      <w:r>
        <w:rPr>
          <w:rFonts w:hint="eastAsia" w:ascii="宋体" w:hAnsi="宋体" w:eastAsia="宋体" w:cs="宋体"/>
          <w:szCs w:val="21"/>
        </w:rPr>
        <w:t>3、安全要求</w:t>
      </w:r>
    </w:p>
    <w:p>
      <w:pPr>
        <w:numPr>
          <w:ilvl w:val="0"/>
          <w:numId w:val="7"/>
        </w:numPr>
        <w:spacing w:line="360" w:lineRule="auto"/>
        <w:rPr>
          <w:rFonts w:ascii="宋体" w:hAnsi="宋体" w:eastAsia="宋体" w:cs="宋体"/>
          <w:szCs w:val="21"/>
        </w:rPr>
      </w:pPr>
      <w:r>
        <w:rPr>
          <w:rFonts w:hint="eastAsia" w:ascii="宋体" w:hAnsi="宋体" w:eastAsia="宋体" w:cs="宋体"/>
          <w:szCs w:val="21"/>
        </w:rPr>
        <w:t>防护区入口处应设灭火系统防护标志。</w:t>
      </w:r>
    </w:p>
    <w:p>
      <w:pPr>
        <w:numPr>
          <w:ilvl w:val="0"/>
          <w:numId w:val="7"/>
        </w:numPr>
        <w:spacing w:line="360" w:lineRule="auto"/>
        <w:rPr>
          <w:rFonts w:hint="eastAsia" w:ascii="宋体" w:hAnsi="宋体" w:eastAsia="宋体" w:cs="宋体"/>
          <w:szCs w:val="21"/>
        </w:rPr>
      </w:pPr>
      <w:r>
        <w:rPr>
          <w:rFonts w:hint="eastAsia" w:ascii="宋体" w:hAnsi="宋体" w:eastAsia="宋体" w:cs="宋体"/>
          <w:szCs w:val="21"/>
        </w:rPr>
        <w:t>防护区应有能在30s内使该区人员疏散完毕的走道与出口。</w:t>
      </w:r>
    </w:p>
    <w:p>
      <w:pPr>
        <w:pStyle w:val="4"/>
        <w:spacing w:before="0" w:after="0" w:line="360" w:lineRule="auto"/>
        <w:rPr>
          <w:rFonts w:hint="eastAsia" w:ascii="宋体" w:hAnsi="宋体" w:cs="宋体"/>
          <w:sz w:val="21"/>
          <w:szCs w:val="21"/>
          <w:lang w:val="en-US" w:eastAsia="zh-CN"/>
        </w:rPr>
      </w:pPr>
      <w:r>
        <w:rPr>
          <w:rFonts w:hint="eastAsia" w:ascii="宋体" w:hAnsi="宋体" w:eastAsia="宋体" w:cs="宋体"/>
          <w:sz w:val="21"/>
          <w:szCs w:val="21"/>
          <w:lang w:val="en-US" w:eastAsia="zh-CN"/>
        </w:rPr>
        <w:t>3.8</w:t>
      </w:r>
      <w:r>
        <w:rPr>
          <w:rFonts w:hint="eastAsia" w:ascii="宋体" w:hAnsi="宋体" w:cs="宋体"/>
          <w:sz w:val="21"/>
          <w:szCs w:val="21"/>
          <w:lang w:val="en-US" w:eastAsia="zh-CN"/>
        </w:rPr>
        <w:t xml:space="preserve"> 灾后排风系统要求</w:t>
      </w:r>
    </w:p>
    <w:p>
      <w:pPr>
        <w:spacing w:line="360" w:lineRule="auto"/>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1、灾后排风系统主要由灾后排风机、控制箱、风管、防火阀、百叶等组成；</w:t>
      </w:r>
    </w:p>
    <w:p>
      <w:pPr>
        <w:spacing w:line="360" w:lineRule="auto"/>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2、灾后排风系统为独立系统，平时为关闭状态，发生火灾灭火后，再由人工启动，通过防护区外的风机控制箱启动，实现灾后排气功能，风机后的防火阀与风机联锁，风机启动则打开，风机关闭则也关闭。保证气体防护区内的密闭要求。</w:t>
      </w:r>
    </w:p>
    <w:p>
      <w:pPr>
        <w:spacing w:line="360" w:lineRule="auto"/>
        <w:ind w:firstLine="420" w:firstLineChars="200"/>
        <w:rPr>
          <w:rFonts w:hint="default" w:ascii="宋体" w:hAnsi="宋体" w:eastAsia="宋体" w:cs="宋体"/>
          <w:szCs w:val="21"/>
          <w:lang w:val="en-US" w:eastAsia="zh-CN"/>
        </w:rPr>
      </w:pPr>
      <w:r>
        <w:rPr>
          <w:rFonts w:hint="eastAsia" w:ascii="宋体" w:hAnsi="宋体" w:eastAsia="宋体" w:cs="宋体"/>
          <w:szCs w:val="21"/>
          <w:lang w:val="en-US" w:eastAsia="zh-CN"/>
        </w:rPr>
        <w:t>3、排风机工作电源采用大楼消防专用电源供电，将从楼层双电源箱敷设电源到风机控制箱内。</w:t>
      </w:r>
    </w:p>
    <w:p>
      <w:pPr>
        <w:pStyle w:val="2"/>
        <w:spacing w:line="360" w:lineRule="auto"/>
        <w:rPr>
          <w:rFonts w:hint="eastAsia" w:ascii="宋体" w:hAnsi="宋体" w:cs="宋体"/>
          <w:b/>
          <w:bCs w:val="0"/>
          <w:szCs w:val="24"/>
          <w:highlight w:val="none"/>
          <w:lang w:val="en-US" w:eastAsia="zh-CN"/>
        </w:rPr>
      </w:pPr>
      <w:r>
        <w:rPr>
          <w:rFonts w:hint="eastAsia" w:ascii="宋体" w:hAnsi="宋体" w:cs="宋体"/>
          <w:b/>
          <w:bCs w:val="0"/>
          <w:szCs w:val="24"/>
          <w:highlight w:val="none"/>
          <w:lang w:eastAsia="zh-CN"/>
        </w:rPr>
        <w:t>四、工期要求：从合同签订之日起</w:t>
      </w:r>
      <w:r>
        <w:rPr>
          <w:rFonts w:hint="eastAsia" w:ascii="宋体" w:hAnsi="宋体" w:cs="宋体"/>
          <w:b/>
          <w:bCs w:val="0"/>
          <w:szCs w:val="24"/>
          <w:highlight w:val="none"/>
          <w:lang w:val="en-US" w:eastAsia="zh-CN"/>
        </w:rPr>
        <w:t>30天完成施工。</w:t>
      </w:r>
    </w:p>
    <w:p>
      <w:pPr>
        <w:pStyle w:val="2"/>
        <w:spacing w:line="360" w:lineRule="auto"/>
        <w:rPr>
          <w:rFonts w:hint="default" w:ascii="宋体" w:hAnsi="宋体" w:cs="宋体"/>
          <w:b/>
          <w:bCs w:val="0"/>
          <w:szCs w:val="24"/>
          <w:highlight w:val="none"/>
          <w:lang w:val="en-US" w:eastAsia="zh-CN"/>
        </w:rPr>
      </w:pPr>
      <w:r>
        <w:rPr>
          <w:rFonts w:hint="eastAsia" w:ascii="宋体" w:hAnsi="宋体" w:cs="宋体"/>
          <w:b/>
          <w:bCs w:val="0"/>
          <w:szCs w:val="24"/>
          <w:highlight w:val="none"/>
          <w:lang w:val="en-US" w:eastAsia="zh-CN"/>
        </w:rPr>
        <w:t>五、验收及售后服务要求：</w:t>
      </w:r>
    </w:p>
    <w:p>
      <w:pPr>
        <w:spacing w:line="360" w:lineRule="auto"/>
        <w:ind w:firstLine="420" w:firstLineChars="200"/>
        <w:rPr>
          <w:rFonts w:hint="eastAsia" w:ascii="宋体" w:hAnsi="宋体" w:cs="宋体"/>
          <w:szCs w:val="21"/>
          <w:lang w:val="en-US" w:eastAsia="zh-CN"/>
        </w:rPr>
      </w:pPr>
      <w:r>
        <w:rPr>
          <w:rFonts w:hint="eastAsia" w:ascii="宋体" w:hAnsi="宋体" w:eastAsia="宋体" w:cs="宋体"/>
          <w:szCs w:val="21"/>
          <w:lang w:val="en-US" w:eastAsia="zh-CN"/>
        </w:rPr>
        <w:t>施工单位需要按经甲方确认的图纸方案</w:t>
      </w:r>
      <w:r>
        <w:rPr>
          <w:rFonts w:hint="eastAsia" w:ascii="宋体" w:hAnsi="宋体" w:cs="宋体"/>
          <w:szCs w:val="21"/>
          <w:lang w:val="en-US" w:eastAsia="zh-CN"/>
        </w:rPr>
        <w:t>进行施工，施工完成后再向用户申请验收，验收标准将</w:t>
      </w:r>
      <w:r>
        <w:rPr>
          <w:rFonts w:hint="eastAsia" w:ascii="宋体" w:hAnsi="宋体" w:eastAsia="宋体" w:cs="宋体"/>
          <w:szCs w:val="21"/>
          <w:lang w:val="en-US" w:eastAsia="zh-CN"/>
        </w:rPr>
        <w:t>按国家现行规范标准，包括《气体灭火系统施工及验收规范》 （GB50263-2007）及《火灾自动报警系统施工及验收规范》GB50166-2019</w:t>
      </w:r>
      <w:r>
        <w:rPr>
          <w:rFonts w:hint="eastAsia" w:ascii="宋体" w:hAnsi="宋体" w:cs="宋体"/>
          <w:szCs w:val="21"/>
          <w:lang w:val="en-US" w:eastAsia="zh-CN"/>
        </w:rPr>
        <w:t>等，通过后双方将在验收意见单上签名确认。本项目施工单位需要提供自验收合格之日起2年的质保期。</w:t>
      </w:r>
    </w:p>
    <w:p>
      <w:pPr>
        <w:rPr>
          <w:rFonts w:ascii="宋体" w:hAnsi="宋体" w:cs="宋体"/>
          <w:sz w:val="28"/>
          <w:szCs w:val="28"/>
        </w:rPr>
      </w:pPr>
      <w:r>
        <w:rPr>
          <w:rFonts w:hint="eastAsia" w:ascii="宋体" w:hAnsi="宋体" w:cs="宋体"/>
          <w:b/>
          <w:bCs w:val="0"/>
          <w:szCs w:val="24"/>
          <w:highlight w:val="none"/>
          <w:lang w:val="en-US" w:eastAsia="zh-CN"/>
        </w:rPr>
        <w:t>六、</w:t>
      </w:r>
      <w:r>
        <w:rPr>
          <w:rFonts w:hint="eastAsia" w:ascii="宋体" w:hAnsi="宋体" w:cs="Tahoma"/>
          <w:b/>
          <w:bCs/>
          <w:sz w:val="28"/>
          <w:szCs w:val="28"/>
        </w:rPr>
        <w:t>付款方式</w:t>
      </w:r>
      <w:r>
        <w:rPr>
          <w:rFonts w:hint="eastAsia" w:ascii="宋体" w:hAnsi="宋体" w:cs="宋体"/>
          <w:sz w:val="28"/>
          <w:szCs w:val="28"/>
        </w:rPr>
        <w:t>：</w:t>
      </w:r>
    </w:p>
    <w:p>
      <w:pPr>
        <w:spacing w:line="360" w:lineRule="auto"/>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（1）1期：支付比例30%,签订合同后，采购人向中标人支付合同总价的30% 。 首次结算服务费，中标人需凭以下资料与采购人结算： ①合同；  ②中标人开具的正式发票； 2期：支付比例70%,全部合同货物到达交货地点，并安装调试运行15天后进行验收。验收合格后，凭验收合格单或验收合格报告（加盖采购人公章），采购人在收到发票后5个工作日内开始向中标人支付合同总价的70%。每次按合同支付款项前，中标人应向采购人提供与支付金额相符的有效发票，且收款方、出具发票方、合同的中标人均必须与中标人名称一致。支付70%项目尾款时，中标人需凭以下资料与采购人结算：</w:t>
      </w:r>
      <w:r>
        <w:rPr>
          <w:rFonts w:hint="eastAsia" w:ascii="宋体" w:hAnsi="宋体" w:eastAsia="宋体" w:cs="宋体"/>
          <w:szCs w:val="21"/>
          <w:lang w:val="en-US" w:eastAsia="zh-CN"/>
        </w:rPr>
        <w:fldChar w:fldCharType="begin"/>
      </w:r>
      <w:r>
        <w:rPr>
          <w:rFonts w:hint="eastAsia" w:ascii="宋体" w:hAnsi="宋体" w:eastAsia="宋体" w:cs="宋体"/>
          <w:szCs w:val="21"/>
          <w:lang w:val="en-US" w:eastAsia="zh-CN"/>
        </w:rPr>
        <w:instrText xml:space="preserve"> = 1 \* GB3 </w:instrText>
      </w:r>
      <w:r>
        <w:rPr>
          <w:rFonts w:hint="eastAsia" w:ascii="宋体" w:hAnsi="宋体" w:eastAsia="宋体" w:cs="宋体"/>
          <w:szCs w:val="21"/>
          <w:lang w:val="en-US" w:eastAsia="zh-CN"/>
        </w:rPr>
        <w:fldChar w:fldCharType="separate"/>
      </w:r>
      <w:r>
        <w:rPr>
          <w:rFonts w:hint="eastAsia" w:ascii="宋体" w:hAnsi="宋体" w:eastAsia="宋体" w:cs="宋体"/>
          <w:szCs w:val="21"/>
          <w:lang w:val="en-US" w:eastAsia="zh-CN"/>
        </w:rPr>
        <w:t>①</w:t>
      </w:r>
      <w:r>
        <w:rPr>
          <w:rFonts w:hint="eastAsia" w:ascii="宋体" w:hAnsi="宋体" w:eastAsia="宋体" w:cs="宋体"/>
          <w:szCs w:val="21"/>
          <w:lang w:val="en-US" w:eastAsia="zh-CN"/>
        </w:rPr>
        <w:fldChar w:fldCharType="end"/>
      </w:r>
      <w:r>
        <w:rPr>
          <w:rFonts w:hint="eastAsia" w:ascii="宋体" w:hAnsi="宋体" w:eastAsia="宋体" w:cs="宋体"/>
          <w:szCs w:val="21"/>
          <w:lang w:val="en-US" w:eastAsia="zh-CN"/>
        </w:rPr>
        <w:t>合同； ②中标人开具的正式发票；③</w:t>
      </w:r>
      <w:r>
        <w:rPr>
          <w:rFonts w:hint="eastAsia" w:ascii="宋体" w:hAnsi="宋体" w:cs="宋体"/>
          <w:szCs w:val="21"/>
          <w:lang w:val="en-US" w:eastAsia="zh-CN"/>
        </w:rPr>
        <w:t>验收合格单</w:t>
      </w:r>
    </w:p>
    <w:p>
      <w:pPr>
        <w:spacing w:line="360" w:lineRule="auto"/>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（2）合同款以银行转账方式支付。因采购人使用的是财政性资金，采购人在规定时间内提出支付申请手续即视为采购人已经按期支付。</w:t>
      </w:r>
    </w:p>
    <w:p>
      <w:pPr>
        <w:spacing w:line="360" w:lineRule="auto"/>
        <w:ind w:firstLine="422" w:firstLineChars="200"/>
        <w:rPr>
          <w:rFonts w:hint="eastAsia" w:ascii="宋体" w:hAnsi="宋体" w:cs="宋体"/>
          <w:b/>
          <w:bCs w:val="0"/>
          <w:szCs w:val="24"/>
          <w:highlight w:val="none"/>
          <w:lang w:val="en-US" w:eastAsia="zh-CN"/>
        </w:rPr>
      </w:pPr>
    </w:p>
    <w:p>
      <w:pPr>
        <w:pStyle w:val="2"/>
        <w:rPr>
          <w:szCs w:val="24"/>
          <w:highlight w:val="yellow"/>
        </w:rPr>
      </w:pPr>
    </w:p>
    <w:sectPr>
      <w:footerReference r:id="rId3" w:type="default"/>
      <w:pgSz w:w="11906" w:h="16838"/>
      <w:pgMar w:top="102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0" w:usb3="00000000" w:csb0="2000019F" w:csb1="00000000"/>
  </w:font>
  <w:font w:name="_GB2312">
    <w:altName w:val="Times New Roman"/>
    <w:panose1 w:val="00000000000000000000"/>
    <w:charset w:val="00"/>
    <w:family w:val="roman"/>
    <w:pitch w:val="default"/>
    <w:sig w:usb0="00000000" w:usb1="00000000" w:usb2="00000000" w:usb3="00000000" w:csb0="00040001"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t xml:space="preserve">第 </w:t>
                          </w:r>
                          <w:r>
                            <w:fldChar w:fldCharType="begin"/>
                          </w:r>
                          <w:r>
                            <w:instrText xml:space="preserve"> PAGE  \* MERGEFORMAT </w:instrText>
                          </w:r>
                          <w:r>
                            <w:fldChar w:fldCharType="separate"/>
                          </w:r>
                          <w:r>
                            <w:t>1</w:t>
                          </w:r>
                          <w:r>
                            <w:fldChar w:fldCharType="end"/>
                          </w:r>
                          <w:r>
                            <w:t xml:space="preserve"> 页</w:t>
                          </w:r>
                          <w:r>
                            <w:rPr>
                              <w:rFonts w:hint="eastAsia"/>
                              <w:lang w:eastAsia="zh-CN"/>
                            </w:rPr>
                            <w:t>，</w:t>
                          </w:r>
                          <w:r>
                            <w:t xml:space="preserve"> 共 </w:t>
                          </w:r>
                          <w:r>
                            <w:fldChar w:fldCharType="begin"/>
                          </w:r>
                          <w:r>
                            <w:instrText xml:space="preserve"> NUMPAGES  \* MERGEFORMAT </w:instrText>
                          </w:r>
                          <w:r>
                            <w:fldChar w:fldCharType="separate"/>
                          </w:r>
                          <w:r>
                            <w:t>11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1</w:t>
                    </w:r>
                    <w:r>
                      <w:fldChar w:fldCharType="end"/>
                    </w:r>
                    <w:r>
                      <w:t xml:space="preserve"> 页</w:t>
                    </w:r>
                    <w:r>
                      <w:rPr>
                        <w:rFonts w:hint="eastAsia"/>
                        <w:lang w:eastAsia="zh-CN"/>
                      </w:rPr>
                      <w:t>，</w:t>
                    </w:r>
                    <w:r>
                      <w:t xml:space="preserve"> 共 </w:t>
                    </w:r>
                    <w:r>
                      <w:fldChar w:fldCharType="begin"/>
                    </w:r>
                    <w:r>
                      <w:instrText xml:space="preserve"> NUMPAGES  \* MERGEFORMAT </w:instrText>
                    </w:r>
                    <w:r>
                      <w:fldChar w:fldCharType="separate"/>
                    </w:r>
                    <w:r>
                      <w:t>11</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FAE3D3"/>
    <w:multiLevelType w:val="singleLevel"/>
    <w:tmpl w:val="9BFAE3D3"/>
    <w:lvl w:ilvl="0" w:tentative="0">
      <w:start w:val="3"/>
      <w:numFmt w:val="chineseCounting"/>
      <w:suff w:val="nothing"/>
      <w:lvlText w:val="%1、"/>
      <w:lvlJc w:val="left"/>
      <w:rPr>
        <w:rFonts w:hint="eastAsia"/>
      </w:rPr>
    </w:lvl>
  </w:abstractNum>
  <w:abstractNum w:abstractNumId="1">
    <w:nsid w:val="17EC761D"/>
    <w:multiLevelType w:val="multilevel"/>
    <w:tmpl w:val="17EC761D"/>
    <w:lvl w:ilvl="0" w:tentative="0">
      <w:start w:val="1"/>
      <w:numFmt w:val="decimal"/>
      <w:lvlText w:val="%1)"/>
      <w:lvlJc w:val="left"/>
      <w:pPr>
        <w:tabs>
          <w:tab w:val="left" w:pos="900"/>
        </w:tabs>
        <w:ind w:left="900" w:hanging="420"/>
      </w:pPr>
      <w:rPr>
        <w:rFonts w:hint="default"/>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
    <w:nsid w:val="1B3C7039"/>
    <w:multiLevelType w:val="multilevel"/>
    <w:tmpl w:val="1B3C7039"/>
    <w:lvl w:ilvl="0" w:tentative="0">
      <w:start w:val="1"/>
      <w:numFmt w:val="decimal"/>
      <w:lvlText w:val="%1)"/>
      <w:lvlJc w:val="left"/>
      <w:pPr>
        <w:tabs>
          <w:tab w:val="left" w:pos="900"/>
        </w:tabs>
        <w:ind w:left="900" w:hanging="420"/>
      </w:pPr>
      <w:rPr>
        <w:rFonts w:hint="default"/>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B93E4D"/>
    <w:multiLevelType w:val="multilevel"/>
    <w:tmpl w:val="2EB93E4D"/>
    <w:lvl w:ilvl="0" w:tentative="0">
      <w:start w:val="1"/>
      <w:numFmt w:val="decimal"/>
      <w:lvlText w:val="%1)"/>
      <w:lvlJc w:val="left"/>
      <w:pPr>
        <w:tabs>
          <w:tab w:val="left" w:pos="900"/>
        </w:tabs>
        <w:ind w:left="900" w:hanging="420"/>
      </w:pPr>
      <w:rPr>
        <w:rFonts w:hint="default"/>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494769EC"/>
    <w:multiLevelType w:val="multilevel"/>
    <w:tmpl w:val="494769EC"/>
    <w:lvl w:ilvl="0" w:tentative="0">
      <w:start w:val="1"/>
      <w:numFmt w:val="decimal"/>
      <w:lvlText w:val="%1)"/>
      <w:lvlJc w:val="left"/>
      <w:pPr>
        <w:tabs>
          <w:tab w:val="left" w:pos="900"/>
        </w:tabs>
        <w:ind w:left="900" w:hanging="420"/>
      </w:pPr>
      <w:rPr>
        <w:rFonts w:hint="default"/>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63092C13"/>
    <w:multiLevelType w:val="multilevel"/>
    <w:tmpl w:val="63092C13"/>
    <w:lvl w:ilvl="0" w:tentative="0">
      <w:start w:val="1"/>
      <w:numFmt w:val="decimal"/>
      <w:lvlText w:val="%1）"/>
      <w:lvlJc w:val="left"/>
      <w:pPr>
        <w:tabs>
          <w:tab w:val="left" w:pos="840"/>
        </w:tabs>
        <w:ind w:left="840" w:hanging="360"/>
      </w:pPr>
      <w:rPr>
        <w:rFonts w:hint="default"/>
        <w:color w:val="auto"/>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6">
    <w:nsid w:val="69FB1B21"/>
    <w:multiLevelType w:val="multilevel"/>
    <w:tmpl w:val="69FB1B21"/>
    <w:lvl w:ilvl="0" w:tentative="0">
      <w:start w:val="1"/>
      <w:numFmt w:val="decimal"/>
      <w:lvlText w:val="%1)"/>
      <w:lvlJc w:val="left"/>
      <w:pPr>
        <w:tabs>
          <w:tab w:val="left" w:pos="900"/>
        </w:tabs>
        <w:ind w:left="900" w:hanging="420"/>
      </w:pPr>
      <w:rPr>
        <w:rFonts w:hint="default"/>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0"/>
  </w:num>
  <w:num w:numId="2">
    <w:abstractNumId w:val="1"/>
  </w:num>
  <w:num w:numId="3">
    <w:abstractNumId w:val="6"/>
  </w:num>
  <w:num w:numId="4">
    <w:abstractNumId w:val="3"/>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1"/>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yN2QxNTMyNzY0ZTFiMzkyY2E5NzMyZWRkMTI2NDcifQ=="/>
  </w:docVars>
  <w:rsids>
    <w:rsidRoot w:val="4A8A72BE"/>
    <w:rsid w:val="00002C5B"/>
    <w:rsid w:val="000449CD"/>
    <w:rsid w:val="00090045"/>
    <w:rsid w:val="00091CD1"/>
    <w:rsid w:val="00106CFC"/>
    <w:rsid w:val="00110B54"/>
    <w:rsid w:val="00115A94"/>
    <w:rsid w:val="00116C2F"/>
    <w:rsid w:val="0014358C"/>
    <w:rsid w:val="00173762"/>
    <w:rsid w:val="00192A67"/>
    <w:rsid w:val="001A4587"/>
    <w:rsid w:val="001A77B1"/>
    <w:rsid w:val="0020399A"/>
    <w:rsid w:val="00247248"/>
    <w:rsid w:val="002741FF"/>
    <w:rsid w:val="00281FC4"/>
    <w:rsid w:val="0029276C"/>
    <w:rsid w:val="002A673B"/>
    <w:rsid w:val="002B0988"/>
    <w:rsid w:val="002B5A55"/>
    <w:rsid w:val="002C0ED1"/>
    <w:rsid w:val="00303B73"/>
    <w:rsid w:val="00320155"/>
    <w:rsid w:val="00334F1F"/>
    <w:rsid w:val="00342582"/>
    <w:rsid w:val="00354A7F"/>
    <w:rsid w:val="0037210B"/>
    <w:rsid w:val="00376B49"/>
    <w:rsid w:val="003C4BAB"/>
    <w:rsid w:val="003E1D0E"/>
    <w:rsid w:val="003F66D9"/>
    <w:rsid w:val="00400AB4"/>
    <w:rsid w:val="00431B74"/>
    <w:rsid w:val="00443359"/>
    <w:rsid w:val="00467ABB"/>
    <w:rsid w:val="0048016C"/>
    <w:rsid w:val="004965E0"/>
    <w:rsid w:val="004A365A"/>
    <w:rsid w:val="004C296F"/>
    <w:rsid w:val="004D0C27"/>
    <w:rsid w:val="00503C62"/>
    <w:rsid w:val="005643C6"/>
    <w:rsid w:val="005A03FD"/>
    <w:rsid w:val="005A71D9"/>
    <w:rsid w:val="005F36AA"/>
    <w:rsid w:val="0062018F"/>
    <w:rsid w:val="00651259"/>
    <w:rsid w:val="00653AA8"/>
    <w:rsid w:val="00665821"/>
    <w:rsid w:val="00667267"/>
    <w:rsid w:val="006C40D7"/>
    <w:rsid w:val="006D036D"/>
    <w:rsid w:val="00703AB8"/>
    <w:rsid w:val="00732D31"/>
    <w:rsid w:val="00734DDC"/>
    <w:rsid w:val="00755A75"/>
    <w:rsid w:val="007700F3"/>
    <w:rsid w:val="007716AC"/>
    <w:rsid w:val="007A4E3B"/>
    <w:rsid w:val="007B117F"/>
    <w:rsid w:val="007D41AE"/>
    <w:rsid w:val="008042EC"/>
    <w:rsid w:val="008158B2"/>
    <w:rsid w:val="00830D7A"/>
    <w:rsid w:val="0083532B"/>
    <w:rsid w:val="008516C3"/>
    <w:rsid w:val="008542C2"/>
    <w:rsid w:val="00855BEF"/>
    <w:rsid w:val="00872E25"/>
    <w:rsid w:val="00873F1D"/>
    <w:rsid w:val="008822B0"/>
    <w:rsid w:val="008B05E2"/>
    <w:rsid w:val="008D3155"/>
    <w:rsid w:val="008D32E6"/>
    <w:rsid w:val="008F418F"/>
    <w:rsid w:val="008F4B25"/>
    <w:rsid w:val="008F643C"/>
    <w:rsid w:val="009533A1"/>
    <w:rsid w:val="00957559"/>
    <w:rsid w:val="00970EB1"/>
    <w:rsid w:val="009749E4"/>
    <w:rsid w:val="009A69C8"/>
    <w:rsid w:val="009C5D6D"/>
    <w:rsid w:val="009D027F"/>
    <w:rsid w:val="009D257A"/>
    <w:rsid w:val="00A077ED"/>
    <w:rsid w:val="00A1225C"/>
    <w:rsid w:val="00A56545"/>
    <w:rsid w:val="00A60C65"/>
    <w:rsid w:val="00A665A2"/>
    <w:rsid w:val="00A815E8"/>
    <w:rsid w:val="00A81AD3"/>
    <w:rsid w:val="00A853E6"/>
    <w:rsid w:val="00A90A04"/>
    <w:rsid w:val="00AA3B52"/>
    <w:rsid w:val="00AD7D11"/>
    <w:rsid w:val="00AF6CD4"/>
    <w:rsid w:val="00B03FE3"/>
    <w:rsid w:val="00B5047B"/>
    <w:rsid w:val="00B617DB"/>
    <w:rsid w:val="00B80260"/>
    <w:rsid w:val="00BA2AFF"/>
    <w:rsid w:val="00BD33A2"/>
    <w:rsid w:val="00BF4082"/>
    <w:rsid w:val="00C10DF2"/>
    <w:rsid w:val="00C13252"/>
    <w:rsid w:val="00C20551"/>
    <w:rsid w:val="00C5125B"/>
    <w:rsid w:val="00C534E4"/>
    <w:rsid w:val="00C73AC8"/>
    <w:rsid w:val="00CB4825"/>
    <w:rsid w:val="00CE66F2"/>
    <w:rsid w:val="00D530B1"/>
    <w:rsid w:val="00D718F1"/>
    <w:rsid w:val="00D8590B"/>
    <w:rsid w:val="00DC0082"/>
    <w:rsid w:val="00DE3503"/>
    <w:rsid w:val="00DF038A"/>
    <w:rsid w:val="00E14D28"/>
    <w:rsid w:val="00E51145"/>
    <w:rsid w:val="00E771FD"/>
    <w:rsid w:val="00E818A0"/>
    <w:rsid w:val="00E8275A"/>
    <w:rsid w:val="00EE56FF"/>
    <w:rsid w:val="00EE66DF"/>
    <w:rsid w:val="00EF77E4"/>
    <w:rsid w:val="00F10DDD"/>
    <w:rsid w:val="00F15EE6"/>
    <w:rsid w:val="00F2152D"/>
    <w:rsid w:val="00F21F27"/>
    <w:rsid w:val="00F25612"/>
    <w:rsid w:val="00F52872"/>
    <w:rsid w:val="00F75DC8"/>
    <w:rsid w:val="00FB6B03"/>
    <w:rsid w:val="01977637"/>
    <w:rsid w:val="01B96F7A"/>
    <w:rsid w:val="040D1CD7"/>
    <w:rsid w:val="04B0767F"/>
    <w:rsid w:val="0597573C"/>
    <w:rsid w:val="095A4869"/>
    <w:rsid w:val="0A9E0A0A"/>
    <w:rsid w:val="0F105AE9"/>
    <w:rsid w:val="10FC4A89"/>
    <w:rsid w:val="11F90D54"/>
    <w:rsid w:val="12F75BB9"/>
    <w:rsid w:val="13AC55BE"/>
    <w:rsid w:val="16340895"/>
    <w:rsid w:val="16F54DD2"/>
    <w:rsid w:val="1703080B"/>
    <w:rsid w:val="17044B01"/>
    <w:rsid w:val="17223094"/>
    <w:rsid w:val="18D3722E"/>
    <w:rsid w:val="1A0569FD"/>
    <w:rsid w:val="1A5328A6"/>
    <w:rsid w:val="1C056068"/>
    <w:rsid w:val="1CBD249F"/>
    <w:rsid w:val="1D1D0F72"/>
    <w:rsid w:val="1D3B1F5C"/>
    <w:rsid w:val="1E1862E1"/>
    <w:rsid w:val="26CA0394"/>
    <w:rsid w:val="26D5580C"/>
    <w:rsid w:val="282633A8"/>
    <w:rsid w:val="2E0771DF"/>
    <w:rsid w:val="2F1D1B77"/>
    <w:rsid w:val="2F59485A"/>
    <w:rsid w:val="2F6513BB"/>
    <w:rsid w:val="30122648"/>
    <w:rsid w:val="322B3351"/>
    <w:rsid w:val="346F257B"/>
    <w:rsid w:val="36380FFC"/>
    <w:rsid w:val="3652183C"/>
    <w:rsid w:val="3A4B3705"/>
    <w:rsid w:val="3C7626F9"/>
    <w:rsid w:val="3DA80D91"/>
    <w:rsid w:val="40EC59C0"/>
    <w:rsid w:val="42D253F5"/>
    <w:rsid w:val="447F72BA"/>
    <w:rsid w:val="452B0F7B"/>
    <w:rsid w:val="465D7E06"/>
    <w:rsid w:val="48A26714"/>
    <w:rsid w:val="49C23456"/>
    <w:rsid w:val="4A8A72BE"/>
    <w:rsid w:val="4B412124"/>
    <w:rsid w:val="50486FC7"/>
    <w:rsid w:val="513B02FF"/>
    <w:rsid w:val="533C1422"/>
    <w:rsid w:val="54B16E8D"/>
    <w:rsid w:val="54FD2F4A"/>
    <w:rsid w:val="56826A09"/>
    <w:rsid w:val="5D1B4259"/>
    <w:rsid w:val="61C7410C"/>
    <w:rsid w:val="61F5191F"/>
    <w:rsid w:val="62E92787"/>
    <w:rsid w:val="670B59C4"/>
    <w:rsid w:val="67FF7F8D"/>
    <w:rsid w:val="6AA411F4"/>
    <w:rsid w:val="6CAB3283"/>
    <w:rsid w:val="6DB1139F"/>
    <w:rsid w:val="6DE24C48"/>
    <w:rsid w:val="6E8667B6"/>
    <w:rsid w:val="701B37F5"/>
    <w:rsid w:val="70803FD4"/>
    <w:rsid w:val="739B5DC7"/>
    <w:rsid w:val="7632720A"/>
    <w:rsid w:val="7A1032E2"/>
    <w:rsid w:val="7BFC47F9"/>
    <w:rsid w:val="7BFF2E69"/>
    <w:rsid w:val="7FA725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9"/>
    <w:pPr>
      <w:keepNext/>
      <w:keepLines/>
      <w:spacing w:before="340" w:after="330" w:line="576" w:lineRule="auto"/>
      <w:outlineLvl w:val="0"/>
    </w:pPr>
    <w:rPr>
      <w:b/>
      <w:bCs/>
      <w:kern w:val="44"/>
      <w:sz w:val="44"/>
      <w:szCs w:val="44"/>
    </w:rPr>
  </w:style>
  <w:style w:type="paragraph" w:styleId="5">
    <w:name w:val="heading 2"/>
    <w:basedOn w:val="1"/>
    <w:next w:val="1"/>
    <w:unhideWhenUsed/>
    <w:qFormat/>
    <w:uiPriority w:val="0"/>
    <w:pPr>
      <w:keepNext/>
      <w:keepLines/>
      <w:spacing w:before="260" w:after="260" w:line="416" w:lineRule="auto"/>
      <w:outlineLvl w:val="1"/>
    </w:pPr>
    <w:rPr>
      <w:rFonts w:asciiTheme="majorHAnsi" w:hAnsiTheme="majorHAnsi" w:eastAsiaTheme="majorEastAsia" w:cstheme="majorBidi"/>
      <w:b/>
      <w:bCs/>
      <w:kern w:val="0"/>
      <w:sz w:val="32"/>
      <w:szCs w:val="32"/>
    </w:rPr>
  </w:style>
  <w:style w:type="paragraph" w:styleId="6">
    <w:name w:val="heading 4"/>
    <w:basedOn w:val="1"/>
    <w:next w:val="1"/>
    <w:unhideWhenUsed/>
    <w:qFormat/>
    <w:uiPriority w:val="0"/>
    <w:pPr>
      <w:keepNext/>
      <w:keepLines/>
      <w:spacing w:before="280" w:after="290" w:line="376" w:lineRule="auto"/>
      <w:outlineLvl w:val="3"/>
    </w:pPr>
    <w:rPr>
      <w:rFonts w:asciiTheme="majorHAnsi" w:hAnsiTheme="majorHAnsi" w:eastAsiaTheme="majorEastAsia" w:cstheme="majorBidi"/>
      <w:b/>
      <w:bCs/>
      <w:kern w:val="0"/>
      <w:sz w:val="28"/>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3"/>
    <w:next w:val="1"/>
    <w:qFormat/>
    <w:uiPriority w:val="0"/>
    <w:pPr>
      <w:spacing w:before="25" w:after="25"/>
      <w:jc w:val="left"/>
    </w:pPr>
    <w:rPr>
      <w:bCs/>
      <w:spacing w:val="10"/>
      <w:kern w:val="0"/>
      <w:sz w:val="24"/>
      <w:szCs w:val="20"/>
    </w:rPr>
  </w:style>
  <w:style w:type="paragraph" w:customStyle="1" w:styleId="3">
    <w:name w:val="表格文字（两侧对齐）"/>
    <w:basedOn w:val="1"/>
    <w:qFormat/>
    <w:uiPriority w:val="0"/>
    <w:pPr>
      <w:snapToGrid w:val="0"/>
    </w:pPr>
    <w:rPr>
      <w:rFonts w:ascii="Calibri" w:hAnsi="Calibri"/>
      <w:kern w:val="0"/>
      <w:sz w:val="20"/>
    </w:rPr>
  </w:style>
  <w:style w:type="paragraph" w:styleId="7">
    <w:name w:val="annotation text"/>
    <w:basedOn w:val="1"/>
    <w:link w:val="20"/>
    <w:qFormat/>
    <w:uiPriority w:val="0"/>
    <w:pPr>
      <w:jc w:val="left"/>
    </w:pPr>
  </w:style>
  <w:style w:type="paragraph" w:styleId="8">
    <w:name w:val="Body Text"/>
    <w:basedOn w:val="1"/>
    <w:semiHidden/>
    <w:unhideWhenUsed/>
    <w:qFormat/>
    <w:uiPriority w:val="99"/>
    <w:pPr>
      <w:spacing w:after="120"/>
    </w:pPr>
  </w:style>
  <w:style w:type="paragraph" w:styleId="9">
    <w:name w:val="Plain Text"/>
    <w:basedOn w:val="1"/>
    <w:link w:val="23"/>
    <w:qFormat/>
    <w:uiPriority w:val="99"/>
    <w:rPr>
      <w:rFonts w:ascii="宋体" w:hAnsi="Courier New" w:cs="Courier New"/>
      <w:szCs w:val="21"/>
    </w:rPr>
  </w:style>
  <w:style w:type="paragraph" w:styleId="10">
    <w:name w:val="Balloon Text"/>
    <w:basedOn w:val="1"/>
    <w:link w:val="22"/>
    <w:qFormat/>
    <w:uiPriority w:val="0"/>
    <w:rPr>
      <w:sz w:val="18"/>
      <w:szCs w:val="18"/>
    </w:rPr>
  </w:style>
  <w:style w:type="paragraph" w:styleId="11">
    <w:name w:val="footer"/>
    <w:basedOn w:val="1"/>
    <w:link w:val="26"/>
    <w:qFormat/>
    <w:uiPriority w:val="0"/>
    <w:pPr>
      <w:tabs>
        <w:tab w:val="center" w:pos="4153"/>
        <w:tab w:val="right" w:pos="8306"/>
      </w:tabs>
      <w:snapToGrid w:val="0"/>
      <w:jc w:val="left"/>
    </w:pPr>
    <w:rPr>
      <w:sz w:val="18"/>
      <w:szCs w:val="18"/>
    </w:rPr>
  </w:style>
  <w:style w:type="paragraph" w:styleId="12">
    <w:name w:val="header"/>
    <w:basedOn w:val="1"/>
    <w:link w:val="25"/>
    <w:qFormat/>
    <w:uiPriority w:val="0"/>
    <w:pPr>
      <w:pBdr>
        <w:bottom w:val="single" w:color="auto" w:sz="6" w:space="1"/>
      </w:pBdr>
      <w:tabs>
        <w:tab w:val="center" w:pos="4153"/>
        <w:tab w:val="right" w:pos="8306"/>
      </w:tabs>
      <w:snapToGrid w:val="0"/>
      <w:jc w:val="center"/>
    </w:pPr>
    <w:rPr>
      <w:sz w:val="18"/>
      <w:szCs w:val="18"/>
    </w:rPr>
  </w:style>
  <w:style w:type="paragraph" w:styleId="13">
    <w:name w:val="Normal (Web)"/>
    <w:basedOn w:val="1"/>
    <w:qFormat/>
    <w:uiPriority w:val="0"/>
    <w:pPr>
      <w:spacing w:before="100" w:beforeAutospacing="1" w:after="100" w:afterAutospacing="1" w:line="240" w:lineRule="auto"/>
    </w:pPr>
    <w:rPr>
      <w:rFonts w:ascii="宋体" w:hAnsi="宋体" w:cs="宋体"/>
      <w:kern w:val="0"/>
      <w:sz w:val="24"/>
      <w:szCs w:val="24"/>
    </w:rPr>
  </w:style>
  <w:style w:type="paragraph" w:styleId="14">
    <w:name w:val="annotation subject"/>
    <w:basedOn w:val="7"/>
    <w:next w:val="7"/>
    <w:link w:val="21"/>
    <w:qFormat/>
    <w:uiPriority w:val="0"/>
    <w:rPr>
      <w:b/>
      <w:bCs/>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annotation reference"/>
    <w:basedOn w:val="17"/>
    <w:qFormat/>
    <w:uiPriority w:val="0"/>
    <w:rPr>
      <w:sz w:val="21"/>
      <w:szCs w:val="21"/>
    </w:rPr>
  </w:style>
  <w:style w:type="paragraph" w:customStyle="1" w:styleId="19">
    <w:name w:val="图"/>
    <w:basedOn w:val="1"/>
    <w:qFormat/>
    <w:uiPriority w:val="0"/>
    <w:pPr>
      <w:keepNext/>
      <w:adjustRightInd w:val="0"/>
      <w:spacing w:before="60" w:after="60" w:line="300" w:lineRule="auto"/>
      <w:jc w:val="center"/>
      <w:textAlignment w:val="center"/>
    </w:pPr>
    <w:rPr>
      <w:spacing w:val="20"/>
      <w:kern w:val="0"/>
      <w:sz w:val="24"/>
      <w:szCs w:val="20"/>
    </w:rPr>
  </w:style>
  <w:style w:type="character" w:customStyle="1" w:styleId="20">
    <w:name w:val="批注文字 Char"/>
    <w:basedOn w:val="17"/>
    <w:link w:val="7"/>
    <w:qFormat/>
    <w:uiPriority w:val="0"/>
    <w:rPr>
      <w:kern w:val="2"/>
      <w:sz w:val="21"/>
      <w:szCs w:val="24"/>
    </w:rPr>
  </w:style>
  <w:style w:type="character" w:customStyle="1" w:styleId="21">
    <w:name w:val="批注主题 Char"/>
    <w:basedOn w:val="20"/>
    <w:link w:val="14"/>
    <w:qFormat/>
    <w:uiPriority w:val="0"/>
    <w:rPr>
      <w:b/>
      <w:bCs/>
      <w:kern w:val="2"/>
      <w:sz w:val="21"/>
      <w:szCs w:val="24"/>
    </w:rPr>
  </w:style>
  <w:style w:type="character" w:customStyle="1" w:styleId="22">
    <w:name w:val="批注框文本 Char"/>
    <w:basedOn w:val="17"/>
    <w:link w:val="10"/>
    <w:qFormat/>
    <w:uiPriority w:val="0"/>
    <w:rPr>
      <w:kern w:val="2"/>
      <w:sz w:val="18"/>
      <w:szCs w:val="18"/>
    </w:rPr>
  </w:style>
  <w:style w:type="character" w:customStyle="1" w:styleId="23">
    <w:name w:val="纯文本 Char"/>
    <w:basedOn w:val="17"/>
    <w:link w:val="9"/>
    <w:qFormat/>
    <w:uiPriority w:val="99"/>
    <w:rPr>
      <w:rFonts w:ascii="宋体" w:hAnsi="Courier New" w:cs="Courier New"/>
      <w:kern w:val="2"/>
      <w:sz w:val="21"/>
      <w:szCs w:val="21"/>
    </w:rPr>
  </w:style>
  <w:style w:type="paragraph" w:customStyle="1" w:styleId="24">
    <w:name w:val="正文_0_1"/>
    <w:qFormat/>
    <w:uiPriority w:val="0"/>
    <w:pPr>
      <w:widowControl w:val="0"/>
      <w:jc w:val="both"/>
    </w:pPr>
    <w:rPr>
      <w:rFonts w:ascii="_GB2312" w:hAnsi="_GB2312" w:eastAsia="宋体" w:cs="Times New Roman"/>
      <w:kern w:val="2"/>
      <w:sz w:val="21"/>
      <w:szCs w:val="22"/>
      <w:lang w:val="en-US" w:eastAsia="zh-CN" w:bidi="ar-SA"/>
    </w:rPr>
  </w:style>
  <w:style w:type="character" w:customStyle="1" w:styleId="25">
    <w:name w:val="页眉 Char"/>
    <w:basedOn w:val="17"/>
    <w:link w:val="12"/>
    <w:qFormat/>
    <w:uiPriority w:val="0"/>
    <w:rPr>
      <w:kern w:val="2"/>
      <w:sz w:val="18"/>
      <w:szCs w:val="18"/>
    </w:rPr>
  </w:style>
  <w:style w:type="character" w:customStyle="1" w:styleId="26">
    <w:name w:val="页脚 Char"/>
    <w:basedOn w:val="17"/>
    <w:link w:val="11"/>
    <w:qFormat/>
    <w:uiPriority w:val="0"/>
    <w:rPr>
      <w:kern w:val="2"/>
      <w:sz w:val="18"/>
      <w:szCs w:val="18"/>
    </w:rPr>
  </w:style>
  <w:style w:type="paragraph" w:customStyle="1" w:styleId="27">
    <w:name w:val="段"/>
    <w:qFormat/>
    <w:uiPriority w:val="99"/>
    <w:pPr>
      <w:autoSpaceDE w:val="0"/>
      <w:autoSpaceDN w:val="0"/>
      <w:ind w:firstLine="20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14</Pages>
  <Words>7281</Words>
  <Characters>8438</Characters>
  <Lines>92</Lines>
  <Paragraphs>26</Paragraphs>
  <TotalTime>14</TotalTime>
  <ScaleCrop>false</ScaleCrop>
  <LinksUpToDate>false</LinksUpToDate>
  <CharactersWithSpaces>8528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2022-03-23T02:37:00Z</dcterms:created>
  <dc:creator>阿chen</dc:creator>
  <cp:lastModifiedBy>吴瑞敏</cp:lastModifiedBy>
  <dcterms:modified xsi:type="dcterms:W3CDTF">2023-08-09T06:12:33Z</dcterms:modified>
  <cp:revision>118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531B2EFC3C214A6A8AA3DCE3E9DA76CA_13</vt:lpwstr>
  </property>
</Properties>
</file>